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333E4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Convenção Coletiva De Trabalho 2015/2017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333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333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333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MS000176/2015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333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333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333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28/04/2015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333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333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333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MR015267/2015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333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333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333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46300.002242/2015-49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333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333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333E4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27/04/2015 </w:t>
                        </w:r>
                      </w:p>
                    </w:tc>
                  </w:tr>
                </w:tbl>
                <w:p w:rsidR="00000000" w:rsidRDefault="008333E4">
                  <w:pPr>
                    <w:rPr>
                      <w:rFonts w:eastAsia="Times New Roman"/>
                    </w:rPr>
                  </w:pPr>
                </w:p>
                <w:p w:rsidR="00000000" w:rsidRDefault="008333E4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8333E4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333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 DOS TRABALHADORES EM ESTABELECIMENTO DE ENSINO, CNPJ n. 37.565.439/0001-71, neste ato representado(a)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Presidente, Sr(a). DHELLIANE CHRISTINA ROMANINI DO PRADO;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DOS ESTAB DE ENSINO DO EST MATO GROSSO DO SUL, CNPJ n. 15.423.536/0001-97, neste ato representado(a) por seu Presidente, Sr(a). MARIA DA GLORIA PAIM BARCELLOS;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a presente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CONVENÇÃO COLETIVA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partes fixam a vigência da presente Convenção Coletiva de Trabalho no período de 01º de março de 2015 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28 de fevereiro de 2017 e a data-base da categoria em 01º de março.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presente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As partes fixam a vigência da presente Convenção Coletiva de Trabalho no período d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 1º de março de 2015 a 28 de fevereiro de 2017 e a data-base da categoria em 1º de março. A celebração da Convenção Coletiva de Trabalh, fixando que as cláusulas econômicas vigorarão até 29 de fevereiro de 2016 e as cláusulas sociais, serão vigente até 28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de fevereiro de 2017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Amambai/MS, Anaurilândia/MS, Angélica/MS, Antônio João/MS, Aral Moreira/MS, Bataguassu/MS, Batayporã/MS, Bela Vista/MS, Caarapó/MS, Caracol/MS, Coronel Sapucaia/MS, Deodápolis/MS, Douradina/MS, Dourados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/MS, Eldorado/MS, Fátima do Sul/MS, Glória de Dourados/MS, Guia Lopes da Laguna/MS, Iguatemi/MS, Itaporã/MS, Itaquiraí/MS, Ivinhema/MS, Jardim/MS, Jateí/MS, Juti/MS, Laguna Carapã/MS, Maracaju/MS, Mundo Novo/MS, Naviraí/MS, Nova Alvorada do Sul/MS, Nova An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dradina/MS, Paranhos/MS, Ponta Porã/MS, Porto Murtinho/MS, Rio Brilhante/MS, Sete Quedas/MS, Tacuru/MS, Taquarussu/MS e Vicentina/MS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SALÁRIOS NORMATIVOS - 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VIGÊNCIA 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 CLÁUSULA: 01/03/2015 a 29/02/2016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A partir de 01 março de 2015 os pisos salariais passam a vigorar com os seguintes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>valores</w:t>
                  </w:r>
                </w:p>
                <w:p w:rsidR="00000000" w:rsidRDefault="008333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7"/>
                    <w:gridCol w:w="3433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1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PISO SALARIAL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VALOR</w:t>
                        </w:r>
                      </w:p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HORA/AULA (MARÇO/2015)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</w:pPr>
                        <w:r>
                          <w:t>Educação Infantil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  <w:jc w:val="right"/>
                        </w:pPr>
                        <w:r>
                          <w:t>8,99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</w:pPr>
                        <w:r>
                          <w:t>Ensino Fundamental I (anos iniciais)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  <w:jc w:val="right"/>
                        </w:pPr>
                        <w:r>
                          <w:t>8,99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</w:pPr>
                        <w:r>
                          <w:t>Ensino Fundamental II (anos finais)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  <w:jc w:val="right"/>
                        </w:pPr>
                        <w:r>
                          <w:t>10,24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</w:pPr>
                        <w:r>
                          <w:t>Ensino Médio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  <w:jc w:val="right"/>
                        </w:pPr>
                        <w:r>
                          <w:t>16,73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</w:pPr>
                        <w:r>
                          <w:t>Cursos Livres e idiomas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  <w:jc w:val="right"/>
                        </w:pPr>
                        <w:r>
                          <w:t>16,73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</w:pPr>
                        <w:r>
                          <w:t>Educação Superior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  <w:jc w:val="right"/>
                        </w:pPr>
                        <w:r>
                          <w:t>30,29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</w:pPr>
                        <w:r>
                          <w:t>Auxiliar Administrativo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  <w:jc w:val="right"/>
                        </w:pPr>
                        <w:r>
                          <w:t>867,53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</w:pPr>
                        <w:r>
                          <w:t>Auxiliar Docente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  <w:jc w:val="right"/>
                        </w:pPr>
                        <w:r>
                          <w:t>867,53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18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</w:pPr>
                        <w:r>
                          <w:t>Auxiliar de Serviços Gerais</w:t>
                        </w:r>
                      </w:p>
                    </w:tc>
                    <w:tc>
                      <w:tcPr>
                        <w:tcW w:w="9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8333E4">
                        <w:pPr>
                          <w:pStyle w:val="NormalWeb"/>
                          <w:jc w:val="right"/>
                        </w:pPr>
                        <w:r>
                          <w:t>849,42</w:t>
                        </w:r>
                      </w:p>
                    </w:tc>
                  </w:tr>
                </w:tbl>
                <w:p w:rsidR="00000000" w:rsidRDefault="008333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USULA QUARTA - PAGAMENTO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 pagamento do salário deverá ser efetuado até o 5º dia útil do mês subsequente ao vencimento. Se o pagamento do salário for feito em cheque, a empresa dará ao trabalhador o tempo necessário para descontá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-lo no mesmo dia. O sábado é considerado dia útil. (PN 117/TST)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REAJUSTAMENTO PARA SALÁRIOS PAGOS ACIMA DO 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VIGÊNCIA DA CLÁUSULA: 01/03/2015 a 29/02/2016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Para os salários pagos acima do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 xml:space="preserve"> piso salarial:</w:t>
                  </w:r>
                </w:p>
                <w:p w:rsidR="00000000" w:rsidRDefault="008333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No mês de março de 2015, será aplicado o percentual de 9,40% (nove inteiros e quarenta centésimo percentuais) sobre os salários efetivamente pagos em </w:t>
                  </w:r>
                  <w:r>
                    <w:rPr>
                      <w:rFonts w:ascii="Arial" w:hAnsi="Arial" w:cs="Arial"/>
                      <w:sz w:val="26"/>
                      <w:szCs w:val="26"/>
                      <w:u w:val="single"/>
                    </w:rPr>
                    <w:t>Fevereiro de 2014.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Formas e Prazos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USULA SEXTA - MULTA POR ATRASO DE PAGAMENTOS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 não pagamento dos salários dos PROFESSORES, AUXILIARES DOCENTES, AUXILIARES ADMINISTRATIVOS e AUXILIARES DE SERVIÇOS GERAIS, no prazo estipulado, até o 5º dia útil, do mês subsequente ao do vencimento, acar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retará multa diária, em favor dos funcionários dos Estabelecimentos de Ensino no valor de 1% (hum inteiro por cento) de juros do seu salário em atraso. (Instrução Normativa n. 1/1989).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PAGAMENTO DE SALÁRIO EM REDE BANCÁRIA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Os Estabel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ecimentos de Ensino poderão efetuar o pagamento dos salários de seus empregados através de agência bancária, mediante depósito em conta individual  do funcionário, havendo agência ou posto bancário na localidade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Remuneração DSR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OITAVA - FORM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 DE CÁLCULO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 remuneração do professor será calculada pelo número de aulas semanais, na conformidade dos horários, pela seguinte fórmula: NÚMERO DE AULAS NA SEMANA X VALOR DA HORA-AULA X 4,5 SEMANAS + 1/6 (Descanso Semanal Remunerado) = REMUNERAÇÃO. (a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rt. 320 CLT)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Descontos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DESCONTOS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 Estabelecimento de Ensino, além das hipóteses legais, só fará descontos no salário de seus professores, auxiliares administrativos, auxiliares docentes e auxiliares de serviços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gerais se ocorrer uma das seguintes hipóteses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: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 a) dano causado pelo empregado (CLT, art. 462 e PN 118/TST);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 b) se o empregado receber lanche no local de trabalho;</w:t>
                  </w:r>
                </w:p>
                <w:p w:rsidR="00000000" w:rsidRDefault="008333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 c) A escola poderá, excepcionalmente dispensar o desconto, mas, nesse caso, o forneciment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o de beneficio não será considerado salário para qualquer efeito legal ou previdenciário, nem o desconto poderá ser reclamado em foro trabalhista.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 xml:space="preserve">CLÁUSULA DÉCIMA - VERBAS SALARIAIS - REMUNERAÇÃO MENSAL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Obrigam-se os Estabelecimentos de Ensino, a fo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rnecer aos funcionários recibos que especifiquem as verbas que compõem a remuneração mensal, bem como os descontos legais e autorizados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ÚNICO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 – O empregador deverá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entregar ao empregado, no dia de seu pagamento o contra-cheque, contendo a seguinte descrição: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a) quantidade de aulas e valor unitário para os professores, auxiliares docentes, auxiliares administrativos e de serviços gerais, o valor do salário;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b) repouso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semanal remunerado;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c)salário família, quando houver;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d)INSS;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e) gratificação por tempo  de serviço, quando houver;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f) outros descontos e rendimentos de forma especificada;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g) fundo de garantia por tempo de serviço;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h) total de rendimentos;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i) total de de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scontos;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j) valor líquido a receber;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k) banco onde está sendo feitos os depósitos do FGTS (PN 93/TST).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13º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DÉCIMO TERCEIRO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Fica assegurado a todos os trabalhadores do setor privado de ensino o pagamento do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>décimo terceiro salário que será efetuado em duas parcelas, sendo a primeira até o dia 30 (trinta) de junho e a segunda até o dia 20 (vinte) do mês de Dezembro de cada ano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ÚNICO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– A primeira parcela será considerada como adiantamento do décimo terceiro salário e a segunda serão feitos os devidos ajustes referentes a variáveis que poderão alterar o valor total do décimo terceiro salário. (Lei 4.090 13/07/62).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Grat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ificação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HORA ATIVIDADE PARA EDUCAÇÃO INFANTIL E SÉRIES INICIAIS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Será aplicado 5% (cinco por cento) a título de hora atividade para professores da Educação Infantil e Anos iniciais do Ensino Fundamental (1º ao 5º 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no). O percentual das referidas horas atividades será calculadas sobre a carga horária contratual semanal e deverão ser cumpridas as respectivas horas em estudos, planejamento pedagógico, atividades pedagógicas ou capacitação continuada, conforme cronogram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a elaborado a critério de cada instituição de ensino, com a ciência dos professores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Hora-Extra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REUNIÕES DE CONSELHO DE DOCENTE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 comparecimento do docente às reuniõ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es de Conselho de Docentes ou a outras reuniões pedagógicas, por tempo que superar seu horário contratual semanal, é remunerado mediante o pagamento de hora-extra, com acréscimo de 50% (cinquenta inteiros por cento), sobre o valor da hora-aula normal.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icional de Tempo de Serviço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QUINQUÊNIO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Os estabelecimentos de ensino concederão adicional por tempo de serviço de 5% (cinco inteiros por cento) a cada período de cinco anos, sobre o salário mensal para professores, auxiliares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administrativos, auxiliares docentes e auxiliares de serviços gerais nos Estabelecimentos de Ensino, ou que vierem a completá-los durante a vigência da Convenção Coletiva de Trabalho - CCT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 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ÚNICO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- Fica ressalvado ao Estabelecimento de Ensino q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ue possua plano de carreira mais benéfico a todos os trabalhadores do setor particular de ensino,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>a manutenção de tais condições, desde que, sabidamente mais vantajosas aos trabalhadores.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Noturno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DÉCIMA QUINTA - ADICIONAL NOTURNO AO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 TRABALHADORES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 trabalho noturno será considerado como aquele realizado a partir das 22 (vinte e duas) horas às 5 (cinco) horas, e será remunerado com adicional de 60% (sessenta inteiros por cento)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Outros Adicionais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DÉCIMA SEXTA - BOLSA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 DE ESTUDOS PARA OS TRABALHADORES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 concessão de bolsas de estudos (total ou parcial) pelas mantenedoras aos trabalhadores será considerada como doação, de acordo com os critérios estabelecidos por cada instituição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Creche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SÉTIMA - CRECHE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É obrigatório a instalação de local destinado à guarda de crianças de até seis meses, quando a Mantenedora mantiver contratada, em jornada integral, pelo menos trinta empregadas com idade superior a 16 anos. A manutenção da creche poderá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ser substituída pelo pagamento do reembolso-creche, nos termos da legislação em vigor (artigo 389, parágrafo 1º da CLT e Portarias MTb nº 3296 de 03.09.86 e nº 670 de 27/08/97), ou ainda, a celebração de convênio com uma entidade conhecidamente idônea. (P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N 22/TST)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Outros Auxílios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OITAVA - CONVÊNIOS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 xml:space="preserve">Os Estabelecimentos de Ensino promoverá o desconto em folha de pagamento das despesas </w:t>
                  </w:r>
                  <w:r>
                    <w:rPr>
                      <w:rFonts w:ascii="Arial" w:hAnsi="Arial" w:cs="Arial"/>
                    </w:rPr>
                    <w:lastRenderedPageBreak/>
                    <w:t>dos convênios firmados: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a) pela Mantenedora com Estabelecimentos Comerciais e Assistenciais;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</w:rPr>
                    <w:t>b) pelo</w:t>
                  </w:r>
                  <w:r>
                    <w:rPr>
                      <w:rFonts w:ascii="Arial" w:hAnsi="Arial" w:cs="Arial"/>
                    </w:rPr>
                    <w:t xml:space="preserve"> SINTRAE-SUL.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>PARÁGRAFO PRIMEIRO -</w:t>
                  </w:r>
                  <w:r>
                    <w:rPr>
                      <w:rFonts w:ascii="Arial" w:hAnsi="Arial" w:cs="Arial"/>
                    </w:rPr>
                    <w:t xml:space="preserve"> Os referidos repasses deverão ser depositados em conta do SINTRAE-SUL, até o dia 10 (dez) de cada mês;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 xml:space="preserve">PARÁGRAFO SEGUNDO - </w:t>
                  </w:r>
                  <w:r>
                    <w:rPr>
                      <w:rFonts w:ascii="Arial" w:hAnsi="Arial" w:cs="Arial"/>
                    </w:rPr>
                    <w:t>Quando o Estabelecimento de Ensino mantiver convênios, cujas despesas sejam descontadas em folha d</w:t>
                  </w:r>
                  <w:r>
                    <w:rPr>
                      <w:rFonts w:ascii="Arial" w:hAnsi="Arial" w:cs="Arial"/>
                    </w:rPr>
                    <w:t>e pagamento, deverá notificar por escrito o empregado afastado pela previdência social, para efetuar o pagamento das despesas mensais diretamente no departamento pessoal, até o dia 10 (dez) de cada mês, sob pena de exclusão e/ou bloqueio da utilização do r</w:t>
                  </w:r>
                  <w:r>
                    <w:rPr>
                      <w:rFonts w:ascii="Arial" w:hAnsi="Arial" w:cs="Arial"/>
                    </w:rPr>
                    <w:t xml:space="preserve">eferido convênio pelo empregado afastado. 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</w:rPr>
                    <w:t xml:space="preserve">PARÁGRAFO TERCEIRO - </w:t>
                  </w:r>
                  <w:r>
                    <w:rPr>
                      <w:rFonts w:ascii="Arial" w:hAnsi="Arial" w:cs="Arial"/>
                    </w:rPr>
                    <w:t>O total dos descontos dos conveniados estão limitados até 30% (trinta inteiros por cento) de sua remuneração mensal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Admissão, Demissão, Modalidades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Normas para Admissão/Contratação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NONA - CONTRATAÇÃO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É nula a contratação de trabalho do Auxiliar Docente, Auxiliar de Administração Escolar e Serviços Gerais por prazo determinado,de substituição de profissional do setor administrativ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o afastado temporariamente por motivo previsto em lei ou neste instrumento normativo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- CARTEIRA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Obrigam-se os Estabelecimentos de Ensino a anotar na Carteira de Trabalho, as funções efetivamente exercidas pelos empregado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s e as atualizações devidas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Desligamento/Demissão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PRIMEIRA - RESCISÕES DE 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O SINTRAE-SUL homologará as rescisões contratuais, devidamente agendadas com 48 horas de antecedência, devendo quando houver irregular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idades na mesma colocar a respectiva ressalva; e em caso de recusa, fornecerá uma declaração nesse sentido.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1º - No ato da homologação o Estabelecimento de Ensino Superior deverá apresentar impreterivelmente os seguintes documentos: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I. Termo de Rescisão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 Contrato de Trabalho - TRCT, em 5 (cinco) vias;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II. Livro de Registro de Empregados  ou Ficha;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III. Comprovante do aviso prévio ou do pedido de demissão;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IV. Extrato analítico atualizado da conta vinculada do empregado no Fundo de Garantia do tempo de 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erviço - FGTS e as guias de recolhimento dos meses que não constem no extrato;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V. GRFC - Guia de Recolhimento rescisório do FGTS e da Contribuição Social, na hipótese de dispensa sem justa causa;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VI. Comunicado de movimentação (chave de identificação da 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nectividade) ressalvado quando por motivo de força maior a C.E.F., não estiver operando online, hipótese que, será designada a homologação, sem as penalidades previstas no § 8º do art.477 da CLT;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VII. Dinheiro ou cheque administrativo;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VIII. Comunicação da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Dispensa - CD e Requerimento do Seguro Desemprego, para fins de habilitação, quando devido;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IX. Atestado de Saúde Ocupacional Demissional, ou Periódico, quando no prazo de validade, atendidas as formalidades especificadas na Norma regulamentadora nº5, apr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ovada pela Portaria nº3.214, de 8 de junho de 1978, e alterações;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X. Ato constitutivo do empregador com alterações ou documento de representação, carta de preposto, para fins de arquivamento e sempre que houver alterações: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XI. Demonstrativo de parcelas var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iáveis consideradas para fins de cálculo dos valores devidos na rescisão contratual, ou os últimos 12(doze) recibos de pagamento de salários, ou ficha financeira;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XII. Prova bancária de quitação, quando for o caso;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XIII. Có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pia das guias de recolhimento da Contribuição Sindical Patronal, Contribuição  Sindical Laboral - RAIS e Contribuição Assistencial Laboral, relativas os últimos 05 (cinco) anos, devidamente quitadas.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§2º - Cumpre ao empregado os seguintes documentos:</w:t>
                  </w:r>
                </w:p>
                <w:p w:rsidR="00000000" w:rsidRDefault="008333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Cart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eira de Trabalho e previdência Social – CTPS;</w:t>
                  </w:r>
                </w:p>
                <w:p w:rsidR="00000000" w:rsidRDefault="008333E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Procuração particular, com firma reconhecida, quando o trabalhador se fizer representar.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§3º - O Estabelecimento de Ensino poderá efetuar o desconto até o limite de 30% (trinta inteiro por cento), quando do pag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amento do saldo de salários das verbas da rescisão do contrato de trabalho, para o pagamento de empréstimo consignado.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§4º - Na hipótese de pagamento das verbas rescisórias através de depósito bancário, o empregador deverá efetuar a homologação da rescisão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contratual impreterivelmente no prazo de até 30 (trinta) dias úteis,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contado a partir  dois prazo final para a quitação das verbas rescisórias, sob pena de ser-lhe aplicada uma multa, em favor do empregado, no valor previsto no § 8º do art.477 da CLT, exc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eto na recusa do empregado.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§5º - Quando não existir na localidade o Sindicato LABORAL ou Delegacia do Ministério do Trabalho e Emprego, a homologação será prestada pelo Representante do Ministério Público, ou onde houver pelo Defensor Público e, na falta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ou impedimento deste requerer a presença do homologador do Sindicato Laboral.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SEGUNDA - DEMISSÃO POR JUSTA CAUSA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 funcionário dispensado por justa causa será informado, por escrito, dos motivos da dispensa. (Art. 482 CLT)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 VIGÉSIMA TERCEIRA - DISPENSA DO PROFESSOR SEM JUSTA CAUSA - TÉRMINO DO AO 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No período de exames e no período de férias escolares, é assegurado aos professores o pagamento, na mesma periodicidade contratual, da remuneração por eles percebida, na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conformidade dos horários, durante o período de aulas. (Redação dada pela Lei nº 9.013, de 30.3.1995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)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 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PRIMEIRO - 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Não se exigirá dos professores, no período de exames, a prestação de mais de 8 (oito) horas de trabalho diário, salvo mediante o pag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amento complementar de cada hora excedente pelo preço correspondente ao de uma aula.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SEGUNDO -  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No período de férias, não se poderá exigir dos professores outro serviço senão o relacionado com a realização de exames.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TERCEIRO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 - 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PROFESSO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R. DISPENSA SEM JUSTA CAUSA. TÉRMINO DO ANO LETIVO OU NO CURSO DE FÉRIAS ESCOLARES. AVISO PRÉVIO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 O direito aos salários assegurados (artigo 322, caput e parágrafo 3º da CLT) não exclui o direito também ao aviso prévio, na hipótese de dispensa sem justa ca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usa ao término do ano letivo ou no curso das férias escolares. (Súmula 10 TST).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Suspensão do 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QUARTA - SUPRESSÃO DE DISCIPLINA, CLASSE OU TURMA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Ocorrendo supressão de disciplina e/ou componente curricular por f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orça de legislação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>vigente ou em virtude de alteração na matriz curricular da educação básica, ou ainda, em ocorrendo encerramento de classe/turma, o respectivo professor terá prioridade para preenchimento de vaga disponível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Estágio/Aprendizagem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SULA VIGÉSIMA QUINTA - ASSESSORIA DE ESTÁGIO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Os Estabelecimentos de Ensino Superior e cursos técnicos pagarão ajuda de custo aos professores, em supervisão de estágio fora do Estabelecimento de Ensino, exceto quando o empregador fornecer transporte até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os locais de prestação de serviço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ÚNICO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- A ajuda de custo prevista no caput não configura salário in natura, bem como não se reflete nas demais verbas trabalhistas. O valor que deverá ser pago corresponderá ao valor da hora aula contratada.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Outros grupos específicos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SEXTA - MUDANÇA DE DISCIPLINA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 professor não poderá ser transferido de uma disciplina para outra, salvo com seu consentimento expresso e por escrito, sob pena de nulidade da referida transferência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FO PRIMEIRO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- O docente não pode ser transferido de um grau para outro, sem o seu consentimento expresso.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referentes a admissão, demissão e modalidades de contratação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SÉTIMA - DUPLA CONTRATAÇÃO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 profissional do seto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r particular de ensino, que além de ministrar aulas, também exercer atividade de auxiliar de administração escolar, deverá ter dois contratos em CTPS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ÚNICO – 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Havendo a situação estabelecida no caput, as férias deverão ser ajustadas entre as part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es envolvidas, por escrito.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Condições de Trabalho, Normas de Pessoal e Estabilidades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Plano de Cargos e Salários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OITAVA - DIA DO TRABALHADOR EM ESTABELECIMENTOS DE ENSINO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No dia 15 de outubro, considerado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dia dos trabalhadores em Estabelecimentos de Ensino, não haverá quaisquer atividades dos funcionários, sem prejuízo de remuneração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ÚNICO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– Ficam ressalvadas as especificidades dos calendários escolares já aprovados para o ano de 2015, nos ano se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guintes de 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2016, 2017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será gozado no dia específico de 15 de Outubro.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Políticas de Manutenção do Emprego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NONA - ESTABILIDADE POR DATA BASE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Fica assegurado a todos dos funcionários em Estabelecimentos de Ensino, Professores, Auxili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ares Docentes, Auxiliares Administrativos e Auxiliares de Serviços Gerais, a estabilidade no mês que antecede a data-base (Fevereiro - Lei .n. 7.238/84, art. 9º)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- ESTABILIDADE PROVISÓRIA DE EMPREGO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Gozarão de estabilidade no empre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go, salvo por motivo de justa causa para demissão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: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a) por 60 (sessenta) dias os trabalhadores que tenham se afastado do trabalho por mais de 15 (quinze) dias, após ter recebido alta médica;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b) por 01 (um) ano, imediatamente anterior à complementação do tem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po para a aposentadoria;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c) para o pai, por 02 (dois) meses após o nascimento do filho, ou adoção de criança menor de 15 (quinze) anos. Em ambas as hipóteses, o pai deverá fazer prova, junto à escola, com a cópia do registro de nascimento do filho, ou do n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ovo registro de nascimento da criança, em caso de adoção.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referentes a condições para o exercício do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CLÁUSULA TRIGÉSIMA PRIMEIRA - IRREDUTIBILIDADE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É proibida a redução de remuneração mensal ou carga horá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ria ressalvada quando ocorrer por iniciativa expressa do Professor. Em qualquer hipótese é obrigatória a concordância recíproca, firmada por escrito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 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PRIMEIRO 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- Não havendo concordância recíproca a parte que deu origem à redução prevista nesta c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láusula arcará com a responsabilidade de rescisão contratual.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 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SEGUNDO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– Não configura redução salarial ilegal a diminuição de carga horária motivada por inevitável supressão de aulas eventuais ou de turma (PN 78/TST).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 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TERCEIRO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- Outra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s atividades, ainda que inerentes ao trabalho docente, que não sejam as de ministrar aulas, de duração temporária e determinada, poderão ser regulamentadas por contrato entre as partes, contendo a caracterização da atividade, o início e a previsão do térmi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no.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 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QUARTO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- Fica assegurado o direito da irredutibilidade salarial do dirigente sindical eleito pela categoria, conforme artigo 543/CLT.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SEGUNDA - QUADRO DE FUNCIONÁRIOS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Obrigam-se os Estabelecimentos de Ensino a manter fixados, em lugar visível e de fácil acesso, o quadro de funcionários, do qual constem o nome de cada um, o número de seu registro e de sua carteira profissional, a carga horária semanal e uma cópia deste I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nstrumento Normativo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TERCEIRA - QUADRO DE AVISOS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 Estabelecimento de Ensino deverá colocar à disposição do SINTRAE-SUL, quadro de avisos, em local visível, para fixação de comunicados de interesse da categoria, sendo proibida a di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vulgação de material político-partidário ou ofensivo a quem quer que seja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de pessoal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QUARTA - RELAÇÃO NOMINAL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 cada período de um ano de vigência da presente Convenção, em cumprimento aos precedentes normativos nº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41 e nº 111 do Egrégio Tribunal Superior Trabalho, e da Nota Técnica/SRT/TEM nº 202/2009, a Escola está obrigada a encaminhar ao Sindicato da categoria profissional relação nominal dos Professores que integram os seus quadros de funcionários, com CPF e co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m o respectivo número de inscrição no Programa de Integração Social – PIS, acompanhada dos valores do salário–aula, do salário mensal, dos descontos previdenciários e legais, inclusive do desconto da contribuição sindical e das guias da contribuição sindic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al e Raiz. No primeiro ano de vigência, o prazo limite de entrega da referida relação é 30 de junho de 2015 e no segundo ano, o prazo limite é 31 de julho de 2016, 2017 respectivamente. A relação poderá ser enviada por meio magnético ou pela internet, ou 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inda ser encaminhada cópia da folha de pagamentos do mês relativo ao desconto da contribuição sindical e assistencia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QUINTA - BANCO DE HORAS AOS TRABALHADORES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Os Estabelecimentos de Ensino poderão celebrar com os auxiliares admini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strativos, auxiliares docentes e auxiliares de serviços gerais, acordo de compensação de horas, em conformidade com art. 59 da CLT, mediante as condições mínimas a seguir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: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PRIMEIRO –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É obrigatório o registro da jornada de compensação mediante pla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nilha assinada pelo trabalhador e empregador, no limite máximo de duas horas diárias, previamente acordada e documentada entre as partes.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SEGUNDO –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A compensação dar-se-á no prazo máximo de 180 dias e a apuração do crédito ou débito para compensa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ção deverá ocorrer na proporção de 1,00 (um) por 1,20 (um e vinte), ou seja, em cada hora excedente será acrescida para efeito de compensação 20% (vinte por cento) de tempo.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TERCEIRO –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Findo o prazo de 180 dias para compensação, as horas excedent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es serão pagas como extraordinárias, acrescidas do percentual de 50% (cinquenta por cento)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QUARTO -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Após cada período, os documentos ficarão a disposição das entidades sindicais, patronal e laboral, para conferência do cumprimento das normas est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abelecidas.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QUINTO – 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A validade do acordo que trata o caput fica condicionada a sua homologação pelo SINEPE-MS e SINTRAE-SUL, com antecedência de 15 dias do início do acordo de compensação de horas.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Duração, Distribuição,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Horário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SEXTA - 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Salvo mediante acordo entre as entidades signatárias deste Instrumento Normativo, a jornada de trabalho dos auxiliares de administração escolar, auxiliares docentes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e auxiliar de serviços gerais, não poderá exceder a 8 (oito) horas diárias ou 44 (quarenta e quatro) horas semanais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UNICO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- 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REGISTRO DE PONTO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– O controle de jornada de trabalho será feito de acordo com a legislação vigente, conforme crité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rio estabelecido na Instituição de Ensino.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Intervalos para Descanso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SÉTIMA - DURAÇÃO DA HORA AULA E INTERVALOS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Considera-se como aula o trabalho letivo ou educacional com duração máxima de 50 (cinquenta) minutos, ministrado para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turma ou classe de alunos ou individualmente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 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PRIMEIRO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- Será remunerado proporcionalmente o tempo que ultrapassar a duração prevista nesta cláusula, acrescida dos adicionais previstos neste instrumento, exceto o adicional de horas extras.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 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GRAFO SEGUNDO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- Após duas ou três aulas consecutivas, é obrigatória a concessão de descanso, mediante intervalo, com duração mínima de 15 (quinze) minutos, cabendo qualquer remuneração pelo referido intervalo.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 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TERCEIRO -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A duração da hora-aula 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erá de 60 (sessenta) minutos para educação infantil e anos iniciais do Ensino Fundamental (1º ao 5º ano).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Controle da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OITAVA - JANELAS PARA PROFESSOR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Havendo horário vago entre as aulas, sem concordâ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ncia expressa do professor, manifestada por escrito, o mesmo fará jus ao recebimento de um salário-aula por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>período correspondente, enquanto durar o horário vago. (PN 31/TST)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NONA - ATESTADOS MÉDICOS E ABONOS DE 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O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Estabelecimento de Ensino está obrigado a aceitar atestados médicos apresentados, desde que, sejam incluídos nestes o 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CID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de cada enfermidade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  ÚNICO - ACOMPANHAMENTO DE DEPENDENTES (ABONO DE FALTA PARA LEVAR FILHO AO MÉDICO)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- Assegura-se o dire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ito à ausência remunerada de 1(um) dia por semestre ao empregado para levar ao médico filho menor ou dependente previdenciário de até 6 (seis) anos de idade, mediante comprovação no prazo de 48 (quarenta e oito) horas.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QUADRAGÉSIMA - DISPENSA DO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FUNCIONÁRIO EM CUMPRIMENTO DA JUSTIÇA ELEITORAL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Os funcionários convocados para trabalhar para a 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JUSTIÇA ELEITORAL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, não terão prejuízo do salário, vencimento ou qualquer outra vantagem, pelo dobro dos dias de convocação, a sua escolha, segundo o artigo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98 da Lei 9.504/97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PRIMEIRA - ABONO DE FALTAS POR CASAMENTO OU LUTO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Não serão descontadas, no curso de nove dias corridos, as faltas dos profissionais que exerçam atividade no setor particula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r de ensino, por motivo de gala ou luto, este em decorrência de falecimento de pai, mãe, irmão, filho, cônjuge, companheiro (a) e dependentes juridicamente  reconhecid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Coletivas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QUADRAGÉSIMA SEGUNDA - FÉ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RIAS DOS PROFESSORES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lastRenderedPageBreak/>
                    <w:t>FÉRIAS DOS PROFESSORES - 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As férias dos professores serão concedidas 30 dias consecutivos e serão gozadas a partir de vinte e seis de dezembro respectivamente nos anos 2.015 a 2.017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PRIMEIRO 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- As férias não poderão ser ini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ciadas aos domingos, feriados, dias de compensação do descanso semanal remunerado e nem aos sábados quando estes não forem dias regulares de aula (PN100/TST).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 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SEGUNDO 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– Os cursos que iniciarem as atividades em períodos diferenciados do regular,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poderão programar as referidas férias em outra data desde que seja elaborado um documento assinado pelos professores, e encaminhado para anuência do SINEPE-MS e SINTRAE-SUL.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Remuneração de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QUADRAGÉSIMA TERCEIRA - PAGAMENTO DE FÉRIAS MA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IS UM TERÇO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Fica assegurado a todos os trabalhadores do setor privado de ensino o pagamento de férias mais 1/3 da mesma, efetuados até 02 (dois) dias antes do início do respectivo período (art.145 CLT)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Licença não Remunerada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QUARTA - LICENÇA SEM REMUNERAÇÃO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Os Professores, Auxiliares Administrativos, Auxiliares Docentes e Auxiliares de Serviços Gerais, com mais de cinco anos ininterruptos de serviço na mantenedora terão direto a licenciar-se sem direito à remuneração, por u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m período máximo de dois anos, podendo ser prorrogável,  não sendo este período de afastamento computado para contagem de tempo de serviço ou para qualquer outro efeito, inclusive legal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PRIMEIRO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- A licença ou sua prorrogação deverá ser comunica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da por escrito à mantenedora, com antecedência mínima de noventa dias do período de afastamento. A licença terá inicio a partir da data expressa no comunicado, mantendo-se, todas as vantagens contratuais. A intenção de retorno do Professores, Auxiliares Ad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ministrativos, Auxiliares Docentes e Auxiliares de Serviços Gerais à atividade deverá ser comunicada à mantenedora, no mínimo, com sessenta dias antes do termino do afastamento.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SEGUNDO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 - O término do afastamento, devidamente documentado, deverá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coincidir com o inicio de cada período letivo, respeitando a organização da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>instituição de ensino.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TERCEIRO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- Os Professores, Auxiliares Administrativos, Auxiliares Docentes e Auxiliares de Serviços Gerais que tenham ou exerçam cargo de confiança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deverão, junto com o comunicado de licença, solicitar seu desligamento do cargo a partir do início do período de licença.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Licença Adoção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QUINTA - LICENÇA A FUNCIONÁRIA MÃE ADOTIVA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Nos termos da Lei 10421, de 15 de abril de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02, será assegurada licença maternidade a funcionária mãe adotiva, que vier a adotar ou obtiver guarda judicial de criança garantindo o emprego no período em que a licença for concedida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QUADRAGÉ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SIMA SEXTA - LICENÇA PATERNIDADE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 licença paternidade terá a duração de cinco dias consecutivos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SÉTIMA - RECESSO COMPENSADO AOS TRABALHADORES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Serão concedidos 10 dias de recesso compensado, no mês de julho, dos quais serão c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ompensados apenas 8 (oito) dias com atividades pedagógicas e extracurriculares, inerentes as atividades de ensino aprendizagem, desde que o mesmo seja acordado entre empresa e empregados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 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PRIMEIRO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– Todos os professores deverão assinar o referid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o termo de compensação, que deverá ser elaborado em três vias, em conjunto com Estabelecimento de Ensino. Os mesmos deverão ser encaminhados aos respectivos sindicatos para a ciência, cujas vias serão arquivadas em cada segmento: 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SINTRAE-SUL, SINEPE-MS e n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o ESTABELECIMENTOS DE ENSINO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 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SEGUNDO 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– Para o ano letivo de 2015 a 2017, o SINEPE-MS se compromete em unificar o referido recesso compensado entre os Estabelecimentosde Ensino da Educação Básica (públicas e particulares) da base SINTRAE-SUL.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 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TERCEIRO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 – O profissional que não comparecer e não justificar sua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>ausência nas atividades, constantes no presente termo terão suas faltas descontadas, sendo que, as ausências anteriormente justificadas e acordadas com a direção, serão abonadas.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Saúde e Segurança do Trabalhador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Uniforme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OITAVA - USO DE UNIFORME E EQUIPAMENTO DE PROTEÇÃO INDIVIDUAL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 Estabelecimento de Ensino que exigir o uso de uniforme e equipamento de proteção, fornecerá gratuitamente ao trabalhad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or no mínimo duas unidades ao ano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ÚNICO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– Quando houver exigência por parte do Estabelecimento de Ensino na devolução dos mesmos, estes, serão devolvidos nas condições em que se encontrarem, devido a sua utilização.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Primeiros Socorros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ULA QUADRAGÉSIMA NONA - PRIMEIROS SOCORROS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Comprometem-se os Estabelecimentos de Ensino a manter medicamentos de primeiros socorros e, em caso de urgência, providenciar a remoção do acidentado ou doente para o necessário atendimento médico hospitalar, d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esde que o sinistro tenha ocorrido dentro da Instituição de Ensino, e sem quaisquer ônus para os empregados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Sindicalização (campanhas e contratação de sindicalizados)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- SINDICALIZAÇÃO DOS TRABALHADORES EM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EDUCAÇÃO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Os Estabelecimentos de Ensino não obstarão a sindicalização de seus empregados, obrigando-se a descontar em folha de pagamento devida, desde que por eles autorizados, e efetuar o recolhimento ao sindicato laboral até o dia 10 (dez) do mês subse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quente ao que originou-se ao desconto incorrendo na pena legal por descumprimento desta cláusula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Acesso do Sindicato ao Local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PRIMEIRA - ACESSO AO DIRIGENTE SINDICAL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Garante-se ao SINTRAE-SUL, o livre acesso nas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escolas durante os intervalos, e o direito de afixar cartazes e avisos de comunicação, vedada a divulgação de matéria político-partidário, desde que previamente autorizado pela Direção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Representante Sindical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QUINQUAGÉSIMA SEGUNDA - ESTABILID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ADE DO DIRIGENTE SINDICAL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Assegura-se a estabilidade prevista no artigo 543, da CLT, para os representantes sindicais eleitos e a serem eleitos por empregados do próprio estabelecimento, a razão de um para cada 200 (duzentos) empregados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ÚNICO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- O SINTRAE-SUL comunicará aos Estabelecimentos de Ensino e ao SINEPE–MS a identificação de seus representantes, por meio de carta com aviso de recebimento (AR), no prazo de 15 (quinze) dias após a finalização da eleição. Igual procedimento será observado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, na hipótese de substituição ou cassação de referidos representantes.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Liberação de Empregados para Atividades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TERCEIRA - REUNIÕES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Nas reuniões com o sindicato patronal –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SINEPE-MS e sindicato laboral 9SINTRAE-SUL), visando à celebração de convenção coletiva de trabalho, a comissão negociadora do SINTRAE-SUL, participantes nas mesmas, terão suas faltas abonadas pelo empregador. (PN 83/TST)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SULA QUINQUAGÉSIMA QUARTA - CONTRIBUIÇÃO ASSISTENCIAL DO SINTRAE-SUL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Os Estabelecimentos de Ensino descontarão do salário mensal dos empregados associados 1,5% (hum inteiro vírgula cinco por cento), enviando relação e os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lastRenderedPageBreak/>
                    <w:t>respectivos descontos efetuados,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bem como recibo de depósito bancário realizado em favor do SINTRAE-SUL, nos anos de 2015 a 2017. O desconto será condicionado à inexistência de manifestação escrita do empregado, nos termos do PN 119/TST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PRIMEIRO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– Subordina-se o desconto de qu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e trata o caput da cláusula à não oposição do trabalhador, manifestado por escrito, perante o Sindicato até 10 (dez) dias antes o primeiro pagamento reajustado.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SEGUNDO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- Os valores descontados, nos termos do caput da cláusula, serão obrigatoriam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ente recolhidos até o décimo dia útil de cada mês, na conta corrente </w:t>
                  </w: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nº 1126-7, AGÊNCIA - 0562, da CAIXA ECONÔMICA FEDERAL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, em nome do SINTRAE-SUL, através do boleto fornecido pelo sindicato laboral aos Estabelecimentos de Ensino (Empresa), sem qualquer ôn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us, e a ser pago em qualquer agência bancária até a data do vencimento.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QUINTA - CONTRIBUIÇÃO PATRONAL DO SINEPE-MS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título de contribuição patronal, as escolas sediadas na base do SINTRAE-SUL e do SINEPE-MS pagarão o custeio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negociações em duas parcelas iguais, em 15 de junho e 20 de agosto, de cada ano, respectivamente, os seguintes valores:</w:t>
                  </w:r>
                </w:p>
                <w:p w:rsidR="00000000" w:rsidRDefault="008333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a) Escolas filiadas o valor correspondente a uma contribuição mensal dos estabelecimentos ao SINEPE-MS;</w:t>
                  </w:r>
                </w:p>
                <w:p w:rsidR="00000000" w:rsidRDefault="008333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b) Escolas não filiadas, 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nforme tabela abaixo:</w:t>
                  </w:r>
                </w:p>
                <w:p w:rsidR="00000000" w:rsidRDefault="008333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partir de 01 março de 2015 os pisos salariais passam a vigorar com os seguintes valores:</w:t>
                  </w:r>
                </w:p>
                <w:tbl>
                  <w:tblPr>
                    <w:tblW w:w="4450" w:type="pct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98"/>
                    <w:gridCol w:w="3491"/>
                  </w:tblGrid>
                  <w:tr w:rsidR="00000000">
                    <w:trPr>
                      <w:tblCellSpacing w:w="7" w:type="dxa"/>
                    </w:trPr>
                    <w:tc>
                      <w:tcPr>
                        <w:tcW w:w="3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Nº DE ALUNOS (*)</w:t>
                        </w:r>
                      </w:p>
                    </w:tc>
                    <w:tc>
                      <w:tcPr>
                        <w:tcW w:w="1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CONTRIBUIÇÃO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3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t>090</w:t>
                        </w:r>
                      </w:p>
                    </w:tc>
                    <w:tc>
                      <w:tcPr>
                        <w:tcW w:w="1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t>120,00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3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t>190</w:t>
                        </w:r>
                      </w:p>
                    </w:tc>
                    <w:tc>
                      <w:tcPr>
                        <w:tcW w:w="1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t>250,00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3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t>350</w:t>
                        </w:r>
                      </w:p>
                    </w:tc>
                    <w:tc>
                      <w:tcPr>
                        <w:tcW w:w="1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t>315,00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3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t>500</w:t>
                        </w:r>
                      </w:p>
                    </w:tc>
                    <w:tc>
                      <w:tcPr>
                        <w:tcW w:w="1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t>435,00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3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t>900</w:t>
                        </w:r>
                      </w:p>
                    </w:tc>
                    <w:tc>
                      <w:tcPr>
                        <w:tcW w:w="1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t>650,00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3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t>1400</w:t>
                        </w:r>
                      </w:p>
                    </w:tc>
                    <w:tc>
                      <w:tcPr>
                        <w:tcW w:w="1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t>870,00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3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t>2000</w:t>
                        </w:r>
                      </w:p>
                    </w:tc>
                    <w:tc>
                      <w:tcPr>
                        <w:tcW w:w="1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t>1.195,00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3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t>2800</w:t>
                        </w:r>
                      </w:p>
                    </w:tc>
                    <w:tc>
                      <w:tcPr>
                        <w:tcW w:w="1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t>1.400,00</w:t>
                        </w:r>
                      </w:p>
                    </w:tc>
                  </w:tr>
                  <w:tr w:rsidR="00000000">
                    <w:trPr>
                      <w:tblCellSpacing w:w="7" w:type="dxa"/>
                    </w:trPr>
                    <w:tc>
                      <w:tcPr>
                        <w:tcW w:w="3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t>+ 2800</w:t>
                        </w:r>
                      </w:p>
                    </w:tc>
                    <w:tc>
                      <w:tcPr>
                        <w:tcW w:w="19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333E4">
                        <w:pPr>
                          <w:pStyle w:val="NormalWeb"/>
                          <w:jc w:val="center"/>
                        </w:pPr>
                        <w:r>
                          <w:t>1.625,00</w:t>
                        </w:r>
                      </w:p>
                    </w:tc>
                  </w:tr>
                </w:tbl>
                <w:p w:rsidR="00000000" w:rsidRDefault="008333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c) A base de cálculo será feita conforme números de alunos registrados na estatística educacional da Secretaria de Estado de Educação/MS e no setor de estatística do Ministério da Educaçã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o, no ano anterior ao recolhimento.</w:t>
                  </w:r>
                </w:p>
                <w:p w:rsidR="00000000" w:rsidRDefault="008333E4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Os recolhimentos serão feitos mediante Boletos do Banco do Brasil, expedidos pelo SINEPE-MS, conforme critérios aprovados  na Assembleia Geral da categoria patronal.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Aplicação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SEXTA - CATEGORIA ABRANGENTE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PROFESSOR - 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Para efeito da presente convenção, considera-se como professor, o profissional devidamente habilitado, cuja função no Estabelecimento ou curso seja mini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strar aulas e realizar atividades pertinentes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PARÁGRAFO ÚNICO - ATIVIDADES PERTINENTES - 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Pertinentes são todas as atividades pedagógicas ou ligadas ao magistério, como pesquisa pedagógica, preparação, planejamento de aulas, o ensino em classe propriamente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dito, a aplicação, avaliação de provas, lançamento de notas e participações em conselho docentes e cursos de capacitação.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AUXILIAR ADMINISTRATIVO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-  Considera-se como auxiliar de administração escolar todo aquele que, sem ministrar aulas ou atividades per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tinentes, sejamtreinados ou capacitados para o exercício de funções que auxiliem a direção ou o corpo docente.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AUXILIAR DOCENTE - 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Auxiliar Docente é o (a) profissional que seja capacitado ou treinado para o exercício de função auxiliar da coordenação ou do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corpo docente, em sala de aula, órgãos suplementares ou operação de equipamentos em geral, vedada a regência de sala de aula.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6"/>
                      <w:szCs w:val="26"/>
                    </w:rPr>
                    <w:t>AUXILIAR DE SERVIÇOS GERAIS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 -É todo aquele que exerça trabalho de motorista, limpeza, manutenção, zeladoria, telefonista, vigilân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cia, segurança e portaria a serviço do Estabelecimento de Ensino. 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Descumprimento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SÉTIMA - DESCUMPRIMENTO DA CONVENÇÃO COLETIVA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O descumprimento desta Convenção Coletiva de Trabalho, obriga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rá a MANTENEDORA, ao pagamento de multa correspondente de 10% (dez inteiros por cento) do salário dos PROFESSORES, AUXILIARES DOCENTES, AUXILIARES ADMINISTRATIVOS e AUXILIARES DE SERVIÇOS GERAIS, para cada uma das cláusulas não cumpridas acrescidas de juro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s de 1% (hum inteiro por cento) ao mês, a cada empregado prejudicado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333E4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OITAVA - CELEBRAÇÃO DE ACORDOS ENTRE EMPRESA E EMPREGADOS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Todos os acordos que forem celebrados a partir da assinatura da presente Conve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nção Coletiva entre Estabelecimentos de Ensino e seus empregados, deverão ter a participação e anuência do SINEPE-MS e do SINTRAE-SUL, sob pena de nulidade do que for avençado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000000" w:rsidRDefault="008333E4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333E4">
                  <w:pPr>
                    <w:pStyle w:val="NormalWeb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eastAsia="Times New Roman"/>
                    </w:rPr>
                    <w:t xml:space="preserve">DHELLIANE CHRISTINA ROMANINI DO PRADO </w:t>
                  </w:r>
                  <w:r>
                    <w:rPr>
                      <w:rFonts w:eastAsia="Times New Roman"/>
                    </w:rPr>
                    <w:br/>
                    <w:t xml:space="preserve">Presidente </w:t>
                  </w:r>
                  <w:r>
                    <w:rPr>
                      <w:rFonts w:eastAsia="Times New Roman"/>
                    </w:rPr>
                    <w:br/>
                    <w:t>SINDICATO DOS TRABALHADORE</w:t>
                  </w:r>
                  <w:r>
                    <w:rPr>
                      <w:rFonts w:eastAsia="Times New Roman"/>
                    </w:rPr>
                    <w:t>S EM ESTABELECIMENTOS DE ENSINO DO SUL DO MATO GROSSO DO SUL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MARIA DA GLORIA PAIM BARCELLOS </w:t>
                  </w:r>
                  <w:r>
                    <w:rPr>
                      <w:rFonts w:eastAsia="Times New Roman"/>
                    </w:rPr>
                    <w:br/>
                    <w:t xml:space="preserve">Presidente </w:t>
                  </w:r>
                  <w:r>
                    <w:rPr>
                      <w:rFonts w:eastAsia="Times New Roman"/>
                    </w:rPr>
                    <w:br/>
                    <w:t>SINDICATO DOS ESTABELECIMENTOS DE ENSINO DO ESTADO DE  MATO GROSSO DO SUL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000000" w:rsidRDefault="008333E4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1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333E4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DHELLIANE CHRISTINA ROMANINI DO PRADO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SIND DOS TRABALHADORES EM ESTABELECIMENTO DE ENSINO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MARIA DA GLORIA PAIM BARCELLOS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ESTAB DE ENSINO DO EST MATO GROSSO DO SUL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8333E4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8333E4">
            <w:pPr>
              <w:rPr>
                <w:rFonts w:eastAsia="Times New Roman"/>
              </w:rPr>
            </w:pPr>
          </w:p>
        </w:tc>
      </w:tr>
    </w:tbl>
    <w:p w:rsidR="008333E4" w:rsidRDefault="008333E4">
      <w:pPr>
        <w:rPr>
          <w:rFonts w:eastAsia="Times New Roman"/>
        </w:rPr>
      </w:pPr>
    </w:p>
    <w:sectPr w:rsidR="008333E4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5694D"/>
    <w:multiLevelType w:val="multilevel"/>
    <w:tmpl w:val="EB9E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876179"/>
    <w:rsid w:val="008333E4"/>
    <w:rsid w:val="0087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 w:cs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5924</Words>
  <Characters>31992</Characters>
  <Application>Microsoft Office Word</Application>
  <DocSecurity>0</DocSecurity>
  <Lines>266</Lines>
  <Paragraphs>75</Paragraphs>
  <ScaleCrop>false</ScaleCrop>
  <Company/>
  <LinksUpToDate>false</LinksUpToDate>
  <CharactersWithSpaces>37841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Convenção Coletiva</dc:title>
  <dc:creator>Eduardo</dc:creator>
  <cp:lastModifiedBy>Eduardo</cp:lastModifiedBy>
  <cp:revision>2</cp:revision>
  <dcterms:created xsi:type="dcterms:W3CDTF">2016-03-10T11:54:00Z</dcterms:created>
  <dcterms:modified xsi:type="dcterms:W3CDTF">2016-03-10T11:54:00Z</dcterms:modified>
</cp:coreProperties>
</file>