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B761A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2015/2017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MS000143/2015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27/03/2015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MR016035/2015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46312.001084/2015-71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26/03/2015 </w:t>
                        </w:r>
                      </w:p>
                    </w:tc>
                  </w:tr>
                </w:tbl>
                <w:p w:rsidR="00000000" w:rsidRDefault="005B761A">
                  <w:pPr>
                    <w:rPr>
                      <w:rFonts w:eastAsia="Times New Roman"/>
                    </w:rPr>
                  </w:pPr>
                </w:p>
                <w:p w:rsidR="00000000" w:rsidRDefault="005B761A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5B761A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97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5B761A">
                              <w:pP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TERMOS ADITIVO(S) VINCULADO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(S)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5B761A">
                              <w:pP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Processo n°: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46312001169201559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e Registro n°: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MS000146/2015</w:t>
                              </w:r>
                            </w:p>
                          </w:tc>
                        </w:tr>
                      </w:tbl>
                      <w:p w:rsidR="00000000" w:rsidRDefault="005B761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5B761A">
                  <w:pPr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TRABALHADORES EM ESTAB DE ENSINO DE MS, CNPJ n. 24.645.095/0001-69,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a) por seu Presidente, Sr(a). EDUARDO ASSIS FONSECA BOTELHO;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ESTAB DE ENSINO DO EST MATO GROSSO DO SUL, CNPJ n. 15.423.536/0001-97,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a) por seu Presidente, Sr(a). MARIA DA GLORIA PAIM BARCELLOS;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01º de março de 2015 a 28 de fevereiro de 2017 e a data-base da categoria em 01º de março.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presente Convenção Coletiva de Trabalho ab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em Estabelecimentos, EXCETO a exclusão da categoria profissional dos trabalhadores em educação da rede pública, e da rede pública municipal, na base territorial do município de Inocência no estado de Mato Grosso do 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ul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Água Clara/MS,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Alcinópolis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Aparecida do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Taboado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Aquidauana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Bandeirantes/MS,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Bodoquena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Bonito/MS, Camapuã/MS, Campo Grande/MS,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Cassilândia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/MS, Chapadão do Sul/MS, Corguinho/MS, Costa Rica/MS, Coxim/MS, Dois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Irmãos do Buriti/MS,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Figueirão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Inocência/MS,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Jaraguari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Miranda/MS,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Nioaque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Paranaíba/MS, Pedro Gomes/MS, Ribas do Rio Pardo/MS, Rio Negro/MS, Rio Verde de Mato Grosso/MS, Rochedo/MS, São Gabriel do Oeste/MS,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Selvíria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Sidrolândia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/MS, Sonora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/MS,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Terenos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/MS e Três Lagoas/MS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SALÁRIOS NORMATIVOS - PISOS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VIGÊNCIA DA CLÁUSULA: 01/03/2015 a 29/02/2016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Os salá</w:t>
                  </w:r>
                  <w:r>
                    <w:rPr>
                      <w:rFonts w:ascii="Arial" w:hAnsi="Arial" w:cs="Arial"/>
                    </w:rPr>
                    <w:t xml:space="preserve">rios </w:t>
                  </w:r>
                  <w:proofErr w:type="gramStart"/>
                  <w:r>
                    <w:rPr>
                      <w:rFonts w:ascii="Arial" w:hAnsi="Arial" w:cs="Arial"/>
                    </w:rPr>
                    <w:t>normativos(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denominados PISOS) dos trabalhadores representados pelo SINTRAE-MS, a partir de primeiro de março de 2015, passam a vigorar pelos seguintes </w:t>
                  </w:r>
                  <w:r>
                    <w:rPr>
                      <w:rFonts w:ascii="Arial" w:hAnsi="Arial" w:cs="Arial"/>
                    </w:rPr>
                    <w:lastRenderedPageBreak/>
                    <w:t>valores já reajustados: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385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8"/>
                    <w:gridCol w:w="2199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NÍVEIS DE SALÁRIO NORMATIVO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MARÇO 2015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A- Educação Infantil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R$ 9,17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B- Ensino Fundamental I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R$ 9,17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C- Ensino Fundamental II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R$ 10,55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D- Ensino Médio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R$ 17,38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E- Cursos Livres e Idiomas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R$ 17,38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F- Educação Superior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R$ 31,19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G-  Auxiliar Administrativo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R$ 867,90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t>H- Auxiliar Docente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R$ 867,90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3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I- Auxiliar de Serviços Gerais</w:t>
                        </w:r>
                      </w:p>
                    </w:tc>
                    <w:tc>
                      <w:tcPr>
                        <w:tcW w:w="1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R$ 837,10</w:t>
                        </w:r>
                      </w:p>
                    </w:tc>
                  </w:tr>
                </w:tbl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Parágrafo único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- Os valores dos itens A; B; C; D; E </w:t>
                  </w:r>
                  <w:proofErr w:type="spellStart"/>
                  <w:r>
                    <w:rPr>
                      <w:rFonts w:ascii="Arial" w:hAnsi="Arial" w:cs="Arial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 da tabela acima correspondem ao valor unitário mínimo da hora-aula contratual dos docentes. 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REAJUSTE DE SALÁRIOS PAGOS ACIMA DOS PISOS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VIGÊNCIA DA CLÁUSULA: 01/03/2015 a 29/02/2016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Os salários em geral pagos acima dos pisos dos trabalhadores representados pelo SINTRAE-MS, vigentes até feverei</w:t>
                  </w:r>
                  <w:r>
                    <w:rPr>
                      <w:rFonts w:ascii="Arial" w:hAnsi="Arial" w:cs="Arial"/>
                    </w:rPr>
                    <w:t>ro de 2016, são corrigidos pelo índice de 9,20 % (nove inteiros e vinte centésimos percentuais),  a partir de primeiro de março de 2015.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DIFERENÇAS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Havendo diferenças decorrentes da aplicação</w:t>
                  </w:r>
                  <w:r>
                    <w:rPr>
                      <w:rFonts w:ascii="Arial" w:hAnsi="Arial" w:cs="Arial"/>
                    </w:rPr>
                    <w:t xml:space="preserve"> do percentual de reajuste previsto nesta CCT, deverão ser quitadas no prazo legal de pagamentos dos salários no quinto dia útil de abril de 2015.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§ 1º  - Os índices de que tratam </w:t>
                  </w:r>
                  <w:proofErr w:type="gramStart"/>
                  <w:r>
                    <w:rPr>
                      <w:rFonts w:ascii="Arial" w:hAnsi="Arial" w:cs="Arial"/>
                    </w:rPr>
                    <w:t>as cláusulas 3ª e 4ª, desta Convenção</w:t>
                  </w:r>
                  <w:proofErr w:type="gramEnd"/>
                  <w:r>
                    <w:rPr>
                      <w:rFonts w:ascii="Arial" w:hAnsi="Arial" w:cs="Arial"/>
                    </w:rPr>
                    <w:t>, incorporam-se aos salários definitiva</w:t>
                  </w:r>
                  <w:r>
                    <w:rPr>
                      <w:rFonts w:ascii="Arial" w:hAnsi="Arial" w:cs="Arial"/>
                    </w:rPr>
                    <w:t>mente, não podendo ser objeto de compensação presente ou futura.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§ 2º - Nenhum estabelecimento pode contratar ou remunerar Professor, Auxiliar Administrativo, Auxiliar Docente ou Auxiliar de Serviços Gerais com salário inferior aos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mínimos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fixados nesta </w:t>
                  </w:r>
                  <w:r>
                    <w:rPr>
                      <w:rFonts w:ascii="Arial" w:hAnsi="Arial" w:cs="Arial"/>
                    </w:rPr>
                    <w:t>CCT (tabela de pisos acima), respeitado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 salário mínimo legal, vigente no País.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O pagamento dos salários será feito até o 5º(quinto) dia útil do mês </w:t>
                  </w:r>
                  <w:proofErr w:type="spellStart"/>
                  <w:r>
                    <w:rPr>
                      <w:rFonts w:ascii="Arial" w:hAnsi="Arial" w:cs="Arial"/>
                    </w:rPr>
                    <w:t>subsequente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ao trabalhado, conforme legislação vigente, sendo sábado con</w:t>
                  </w:r>
                  <w:r>
                    <w:rPr>
                      <w:rFonts w:ascii="Arial" w:hAnsi="Arial" w:cs="Arial"/>
                    </w:rPr>
                    <w:t>siderado dia útil, para este efeito. Se o salário for pago em cheque, a empresa dará ao trabalhador o tempo necessário para descontá-lo, no mesmo dia (PN 117/TST).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CÁLCULO DA REMUNERAÇÃO DO PROFESSOR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Forma de cálculo -  Art. 320, §1°</w:t>
                  </w:r>
                  <w:r>
                    <w:rPr>
                      <w:rFonts w:ascii="Arial" w:hAnsi="Arial" w:cs="Arial"/>
                    </w:rPr>
                    <w:t xml:space="preserve"> §2° §3° da CLT – A remuneração do professor será calculada pelo número de aulas semanais, na conformidade dos horários, pela seguinte fórmula: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REMUNERAÇÃO DA FUNÇÃO DE PROFESSOR = NÚMERO DE HORAS AULAS SEMANAIS X 4,5 SEMANAS + 1/6 (DSR) X VALOR DA HORA-</w:t>
                  </w:r>
                  <w:r>
                    <w:rPr>
                      <w:rFonts w:ascii="Arial" w:hAnsi="Arial" w:cs="Arial"/>
                    </w:rPr>
                    <w:t>AULA.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DESCONTOS NOS SALÁRIOS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 escola, além das hipóteses legais, só fará descontos no salário de seus professores, auxiliares administrativos, docentes e de serviços gerais se ocorrer uma das seguintes hipó</w:t>
                  </w:r>
                  <w:r>
                    <w:rPr>
                      <w:rFonts w:ascii="Arial" w:hAnsi="Arial" w:cs="Arial"/>
                    </w:rPr>
                    <w:t>teses: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a) dano causado pelo empregado, nos termos do Art. 462, §1º ao §4º, da CLT e PN 118/TST;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b) se o empregado receber lanche no local de trabalho.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DESCONTOS AUTORIZADOS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Obrigam-se os Estabelecimentos de Ensino a promover, desde</w:t>
                  </w:r>
                  <w:r>
                    <w:rPr>
                      <w:rFonts w:ascii="Arial" w:hAnsi="Arial" w:cs="Arial"/>
                    </w:rPr>
                    <w:t xml:space="preserve"> que devidamente autorizados por seus empregados, os descontos, em folha de pagamento, das despesas efetuadas com convênios médico e odontológico, firmados pelo SINTRAE-MS e estabelecimentos </w:t>
                  </w:r>
                  <w:proofErr w:type="spellStart"/>
                  <w:r>
                    <w:rPr>
                      <w:rFonts w:ascii="Arial" w:hAnsi="Arial" w:cs="Arial"/>
                    </w:rPr>
                    <w:t>prestacionais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 assistenciais, e repassar os valores à entidade p</w:t>
                  </w:r>
                  <w:r>
                    <w:rPr>
                      <w:rFonts w:ascii="Arial" w:hAnsi="Arial" w:cs="Arial"/>
                    </w:rPr>
                    <w:t>rofissional, no décimo dia útil de cada mês. Os referidos descontos ficam limitados aos termos do Art. 462 e parágrafos da CLT.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RECIBO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estabelecimentos de ensino obrigam-se a fornecer aos trabalhadores documentos que especifiquem as verbas que compõem a remuneração mensal, bem como os descontos legais e autorizados.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- O empregador deverá entregar ao empregado, no di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de seu pagamento o contracheque e/ou o comprovante de pagamento, contendo a seguinte descrição: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 quantidade de aulas e valor unitário para os professores e para os auxiliares administrativos, docentes e de serviços gerais, o valor do salário;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repo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uso semanal remunerado;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c) salário família, quando houver;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d) INSS;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e) gratificação por tempo de serviço, quando houver;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f) fundo de garantia por tempo de serviço;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g) total de rendimentos;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h) total de descontos;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i) valor líquido a receber;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j) banco onde 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tão sendo feitos os depósitos do FGTS. (PN 93/TST)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ATIVIDADES EXTRAORDINÁRIAS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Todas as atividades extraordinárias dos docentes, que exceder à </w:t>
                  </w:r>
                  <w:r>
                    <w:rPr>
                      <w:rFonts w:ascii="Arial" w:hAnsi="Arial" w:cs="Arial"/>
                    </w:rPr>
                    <w:t>jornada contratual semanal, inclusive qualquer reunião ou atividade extraclasse fora do horário normal de trabalho, deverão ser remuneradas como trabalho extraordinário, com o acréscimo do percentual de 60% (sessenta por cento).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Parágrafo único - As ativ</w:t>
                  </w:r>
                  <w:r>
                    <w:rPr>
                      <w:rFonts w:ascii="Arial" w:hAnsi="Arial" w:cs="Arial"/>
                    </w:rPr>
                    <w:t>idades extraordinárias dos auxiliares serão remuneradas como trabalho extraordinário, no percentual de 60% (Sessenta por cento).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ACRÉCIMO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É assegurado ao auxiliar administrativo, auxiliares docen</w:t>
                  </w:r>
                  <w:r>
                    <w:rPr>
                      <w:rFonts w:ascii="Arial" w:hAnsi="Arial" w:cs="Arial"/>
                    </w:rPr>
                    <w:t>tes e auxiliares de serviços gerais, quando trabalharem na segurança ou portaria, em turnos ininterruptos, e quando dobrar serviço, por motivos alheios a sua vontade, o pagamento de seu salário normal por hora, acrescido do percentual de 100% (cem por cent</w:t>
                  </w:r>
                  <w:r>
                    <w:rPr>
                      <w:rFonts w:ascii="Arial" w:hAnsi="Arial" w:cs="Arial"/>
                    </w:rPr>
                    <w:t>o).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Educação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BOLSAS DE ESTUDOS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 concessão de bolsas de estudos, integral ou parcial, pela mantenedora das Instituições de Ensino aos trabalhadores, será considerada doação, de acordo com os crité</w:t>
                  </w:r>
                  <w:r>
                    <w:rPr>
                      <w:rFonts w:ascii="Arial" w:hAnsi="Arial" w:cs="Arial"/>
                    </w:rPr>
                    <w:t>rios estabelecidos pelas Instituições de Ensino.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RESCISÃO NO TRINTÍDIO DA DATA-BASE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No caso em que o aviso-prévio tenha termo final até 28 e/ou</w:t>
                  </w:r>
                  <w:r>
                    <w:rPr>
                      <w:rFonts w:ascii="Arial" w:hAnsi="Arial" w:cs="Arial"/>
                    </w:rPr>
                    <w:t xml:space="preserve"> 29 de fevereiro, o empregado faz jus aos direitos legais da relação de trabalho e à multa por rescisão no trintídio precedente à </w:t>
                  </w:r>
                  <w:r>
                    <w:rPr>
                      <w:rFonts w:ascii="Arial" w:hAnsi="Arial" w:cs="Arial"/>
                    </w:rPr>
                    <w:lastRenderedPageBreak/>
                    <w:t>data-base, (Art. 9º, da Lei 6.708/79)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DAS RESCISÕES DO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SINTRAE/MS homolog</w:t>
                  </w:r>
                  <w:r>
                    <w:rPr>
                      <w:rFonts w:ascii="Arial" w:hAnsi="Arial" w:cs="Arial"/>
                    </w:rPr>
                    <w:t>ará as rescisões contratuais, devidamente agendadas com 24 horas de antecedência, devendo quando houver irregularidades na mesma colocar a respectiva ressalva; e em caso de recusa, fornecerá uma declaração nesse sentido.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§ 1º. – </w:t>
                  </w:r>
                  <w:r>
                    <w:rPr>
                      <w:rFonts w:ascii="Arial" w:hAnsi="Arial" w:cs="Arial"/>
                    </w:rPr>
                    <w:t>No ato da homologação o E</w:t>
                  </w:r>
                  <w:r>
                    <w:rPr>
                      <w:rFonts w:ascii="Arial" w:hAnsi="Arial" w:cs="Arial"/>
                    </w:rPr>
                    <w:t>stabelecimento de Ensino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</w:rPr>
                    <w:t>deverá apresentar impreterivelmente os seguintes documentos: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  </w:t>
                  </w:r>
                  <w:r>
                    <w:rPr>
                      <w:rFonts w:ascii="Arial" w:eastAsia="Times New Roman" w:hAnsi="Arial" w:cs="Arial"/>
                    </w:rPr>
                    <w:t xml:space="preserve">Termo de Rescisão de Contrato de Trabalho – TRCT, em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5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(cinco) vias;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 Livro de Registro de Empregados ou Ficha;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  <w:r>
                    <w:rPr>
                      <w:rFonts w:ascii="Arial" w:eastAsia="Times New Roman" w:hAnsi="Arial" w:cs="Arial"/>
                    </w:rPr>
                    <w:t>Comprovante do aviso prévio ou do pedido de demiss</w:t>
                  </w:r>
                  <w:r>
                    <w:rPr>
                      <w:rFonts w:ascii="Arial" w:eastAsia="Times New Roman" w:hAnsi="Arial" w:cs="Arial"/>
                    </w:rPr>
                    <w:t>ão;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 Extrato analítico atualizado da conta vinculada do empregado no Fundo de Garantia do Tempo de Serviço – FGTS e guias de recolhimento dos meses que não constem no extrato;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GRFC - Guia de Recolhimento Rescisório do FGTS e da Contribuição Social, na hi</w:t>
                  </w:r>
                  <w:r>
                    <w:rPr>
                      <w:rFonts w:ascii="Arial" w:eastAsia="Times New Roman" w:hAnsi="Arial" w:cs="Arial"/>
                    </w:rPr>
                    <w:t>pótese de dispensa sem justa causa;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 xml:space="preserve">  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  Comunicado de movimentação do trabalhador (chave de identificação da conectividade), ressalvado quando por motivo de força maior a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C.E.F.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não estiver operando </w:t>
                  </w:r>
                  <w:r>
                    <w:rPr>
                      <w:rStyle w:val="nfase"/>
                      <w:rFonts w:ascii="Arial" w:eastAsia="Times New Roman" w:hAnsi="Arial" w:cs="Arial"/>
                    </w:rPr>
                    <w:t>online, hipótese que, será designada a homologação, sem a</w:t>
                  </w:r>
                  <w:r>
                    <w:rPr>
                      <w:rStyle w:val="nfase"/>
                      <w:rFonts w:ascii="Arial" w:eastAsia="Times New Roman" w:hAnsi="Arial" w:cs="Arial"/>
                    </w:rPr>
                    <w:t>s penalidades previstas no § 8º do art. 477 da CLT 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  </w:t>
                  </w:r>
                  <w:r>
                    <w:rPr>
                      <w:rFonts w:ascii="Arial" w:eastAsia="Times New Roman" w:hAnsi="Arial" w:cs="Arial"/>
                    </w:rPr>
                    <w:t>Dinheiro ou cheque administrativo;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 Comunicação da Dispensa – CD e Requerimento do Seguro Desemprego, para fins de habilitação, quando devido;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  </w:t>
                  </w:r>
                  <w:r>
                    <w:rPr>
                      <w:rFonts w:ascii="Arial" w:eastAsia="Times New Roman" w:hAnsi="Arial" w:cs="Arial"/>
                    </w:rPr>
                    <w:t xml:space="preserve">Atestado de Saúde Ocupacional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Demissional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, ou Periódi</w:t>
                  </w:r>
                  <w:r>
                    <w:rPr>
                      <w:rFonts w:ascii="Arial" w:eastAsia="Times New Roman" w:hAnsi="Arial" w:cs="Arial"/>
                    </w:rPr>
                    <w:t>co, quando no prazo de validade, atendidas as formalidades especificadas na Norma Regulamentadora nº 5, aprovada pela Portaria nº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 xml:space="preserve">  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3.214, de 8 de junho de 1978, e alterações;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 Ato constitutivo do empregador com alterações ou documento de representação, c</w:t>
                  </w:r>
                  <w:r>
                    <w:rPr>
                      <w:rFonts w:ascii="Arial" w:eastAsia="Times New Roman" w:hAnsi="Arial" w:cs="Arial"/>
                    </w:rPr>
                    <w:t>arta de preposto, para fins de arquivamento e sempre que houver alterações;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 Demonstrativo de parcelas variáveis consideradas para fins de cálculo dos valores devidos na rescisão contratual, ou os úl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Times New Roman" w:hAnsi="Arial" w:cs="Arial"/>
                    </w:rPr>
                    <w:t>imos 12 (doze) recibos de pagamento de salário, ou fich</w:t>
                  </w:r>
                  <w:r>
                    <w:rPr>
                      <w:rFonts w:ascii="Arial" w:eastAsia="Times New Roman" w:hAnsi="Arial" w:cs="Arial"/>
                    </w:rPr>
                    <w:t>a financeira.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 Prova bancária de quitação, quando for o caso;</w:t>
                  </w:r>
                </w:p>
                <w:p w:rsidR="00000000" w:rsidRDefault="005B76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  Cópia das guias de recolhimento da Contribuição Sindical patronal e laboral, relativas os últimos 02 (dois) anos, devidamente quitadas.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§ 2º - </w:t>
                  </w:r>
                  <w:r>
                    <w:rPr>
                      <w:rFonts w:ascii="Arial" w:hAnsi="Arial" w:cs="Arial"/>
                    </w:rPr>
                    <w:t>Cumpre ao empregado apresentar os seguintes do</w:t>
                  </w:r>
                  <w:r>
                    <w:rPr>
                      <w:rFonts w:ascii="Arial" w:hAnsi="Arial" w:cs="Arial"/>
                    </w:rPr>
                    <w:t>cumentos:</w:t>
                  </w:r>
                </w:p>
                <w:p w:rsidR="00000000" w:rsidRDefault="005B761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>Carteira de Trabalho e Previdência Social – CTPS.</w:t>
                  </w:r>
                </w:p>
                <w:p w:rsidR="00000000" w:rsidRDefault="005B761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Procuração particular, com firma reconhecida, quando o trabalhador se fizer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representar.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§ 3º -  </w:t>
                  </w:r>
                  <w:r w:rsidR="0060704A">
                    <w:rPr>
                      <w:rFonts w:ascii="Arial" w:hAnsi="Arial" w:cs="Arial"/>
                    </w:rPr>
                    <w:t>ANULADO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§ 4º - </w:t>
                  </w:r>
                  <w:r w:rsidR="0060704A">
                    <w:rPr>
                      <w:rFonts w:ascii="Arial" w:hAnsi="Arial" w:cs="Arial"/>
                    </w:rPr>
                    <w:t>ANULADO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admissão, demissão e modalidades de 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ASSISTÊNCIA ÀS RESCISÕES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As rescisões serã</w:t>
                  </w:r>
                  <w:r>
                    <w:rPr>
                      <w:rFonts w:ascii="Arial" w:hAnsi="Arial" w:cs="Arial"/>
                    </w:rPr>
                    <w:t>o assistidas pelo SINTRAE-MS, na base de Campo Grande-MS. No interior, salvo na impossibilidade do sindicato dos trabalhadores em deslocar-se, as homologações serão feitas nos termos do artigo 477, parágrafos  1º e 3º, da CLT.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Parágrafo único - Face à </w:t>
                  </w:r>
                  <w:proofErr w:type="spellStart"/>
                  <w:r>
                    <w:rPr>
                      <w:rFonts w:ascii="Arial" w:hAnsi="Arial" w:cs="Arial"/>
                    </w:rPr>
                    <w:t>exig</w:t>
                  </w:r>
                  <w:r>
                    <w:rPr>
                      <w:rFonts w:ascii="Arial" w:hAnsi="Arial" w:cs="Arial"/>
                    </w:rPr>
                    <w:t>uidade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do prazo de pagamento, caso haja recusa de assistência pelo SINTRAE-MS, as escolas poderão consignar as verbas rescisórias independentemente de recorrer a Superintendência Regional de Mato Grosso do Sul – MTE, para nova tentativa de homologação.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Atribuições da Função/Desvio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DEFINIÇÃO DE PROFESSORES E DE AUXILIARES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Para efeito da presente convenção, considera-se: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1º - Profe</w:t>
                  </w:r>
                  <w:r>
                    <w:rPr>
                      <w:rFonts w:ascii="Arial" w:hAnsi="Arial" w:cs="Arial"/>
                    </w:rPr>
                    <w:t>ssor é todo aquele cuja função no estabelecimento de ensino ou curso seja ministrar aulas e realizar atividades pertinentes. Atividades pertinentes são todas as atividades pedagógicas ou ligadas ao magistério, como pesquisa, preparação, planejamento de aul</w:t>
                  </w:r>
                  <w:r>
                    <w:rPr>
                      <w:rFonts w:ascii="Arial" w:hAnsi="Arial" w:cs="Arial"/>
                    </w:rPr>
                    <w:t>as, o ensino em classe propriamente dito, a aplicação e/ou avaliação das provas, lançamento das notas, participações em conselhos de docentes e cursos de capacitação continuada.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§ 2º - Auxiliar Administrativo ou integrante do corpo administrativo é todo </w:t>
                  </w:r>
                  <w:r>
                    <w:rPr>
                      <w:rFonts w:ascii="Arial" w:hAnsi="Arial" w:cs="Arial"/>
                    </w:rPr>
                    <w:t>aquele que sem ministrar aulas ou atividades pertinentes seja habilitado ou capacitado para o exercício de funções que auxilie a direção ou o corpo docente.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§ 3º - Auxiliar Docente – Auxiliar Docente é </w:t>
                  </w:r>
                  <w:proofErr w:type="gramStart"/>
                  <w:r>
                    <w:rPr>
                      <w:rFonts w:ascii="Arial" w:hAnsi="Arial" w:cs="Arial"/>
                    </w:rPr>
                    <w:t>o(</w:t>
                  </w:r>
                  <w:proofErr w:type="gramEnd"/>
                  <w:r>
                    <w:rPr>
                      <w:rFonts w:ascii="Arial" w:hAnsi="Arial" w:cs="Arial"/>
                    </w:rPr>
                    <w:t>a) empregado(a) que seja capacitado ou treinado pa</w:t>
                  </w:r>
                  <w:r>
                    <w:rPr>
                      <w:rFonts w:ascii="Arial" w:hAnsi="Arial" w:cs="Arial"/>
                    </w:rPr>
                    <w:t>ra o exercício de função auxiliar da coordenação ou do corpo docente, em sala de aula, órgão suplementar ou operação de equipamentos em geral, vedada a regência de sala de aula.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4º - Auxiliar de Serviços Gerais - é todo aquele que exerça trabalho de mo</w:t>
                  </w:r>
                  <w:r>
                    <w:rPr>
                      <w:rFonts w:ascii="Arial" w:hAnsi="Arial" w:cs="Arial"/>
                    </w:rPr>
                    <w:t>torista, limpeza, manutenção, zeladoria, telefonista, vigilância, segurança e portaria, a serviço do estabelecimento de ensino.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condições para o exercício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DESVIO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É vedado aos</w:t>
                  </w:r>
                  <w:r>
                    <w:rPr>
                      <w:rFonts w:ascii="Arial" w:hAnsi="Arial" w:cs="Arial"/>
                    </w:rPr>
                    <w:t xml:space="preserve"> estabelecimentos de ensino exigir do professor a prestação de serviços e/ou atividades de limpeza ou manutenção de qualquer espécie ou natureza.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JANELAS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Professor (“Janelas”) - Os tempos vagos (“janelas”) em que o professor f</w:t>
                  </w:r>
                  <w:r>
                    <w:rPr>
                      <w:rFonts w:ascii="Arial" w:hAnsi="Arial" w:cs="Arial"/>
                    </w:rPr>
                    <w:t xml:space="preserve">icar à disposição do curso serão remunerados como aula, no limite de </w:t>
                  </w:r>
                  <w:proofErr w:type="gramStart"/>
                  <w:r>
                    <w:rPr>
                      <w:rFonts w:ascii="Arial" w:hAnsi="Arial" w:cs="Arial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</w:rPr>
                    <w:t>(uma) hora diária por unidade. O pagamento das “janelas” só será devido enquanto durar o intervalo e apenas durante o ano letivo. (PN 31/TST)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LIMITAÇÃO DO ARTIGO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318, DA CLT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Limitação do art. 318 CLT - Quando o número de aulas </w:t>
                  </w:r>
                  <w:proofErr w:type="gramStart"/>
                  <w:r>
                    <w:rPr>
                      <w:rFonts w:ascii="Arial" w:hAnsi="Arial" w:cs="Arial"/>
                    </w:rPr>
                    <w:t>exceder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 limite previsto no artigo 318, da CLT, o cálculo dessas horas será o da fórmula: número de aulas semanais x  4,5 semanas + 1/6 (DSR) x valor da hora aula. A opção por está clá</w:t>
                  </w:r>
                  <w:r>
                    <w:rPr>
                      <w:rFonts w:ascii="Arial" w:hAnsi="Arial" w:cs="Arial"/>
                    </w:rPr>
                    <w:t xml:space="preserve">usula pelo docente é de interesse geral, </w:t>
                  </w:r>
                  <w:r>
                    <w:rPr>
                      <w:rFonts w:ascii="Arial" w:hAnsi="Arial" w:cs="Arial"/>
                    </w:rPr>
                    <w:lastRenderedPageBreak/>
                    <w:t>para a composição de remuneração mais vantajosa e benéfica.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SUPRESSÃO DE AULAS E/OU DE TURMAS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Não configura redução salarial ilegal a diminuição de carga horária motivada por inevit</w:t>
                  </w:r>
                  <w:r>
                    <w:rPr>
                      <w:rFonts w:ascii="Arial" w:hAnsi="Arial" w:cs="Arial"/>
                    </w:rPr>
                    <w:t>ável supressão de aulas eventuais ou de turmas. (PN 78 TST)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PROFESSORES DE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PRÉ VESTIBULARES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valor das aulas de pré-vestibulares ("aulas de véspera") deverá ser pactuado entre professor e estabelecimento de ensino.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VIGÉSIMA TERCEIRA - ASSENTOS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estabelecimento de ensino fica obrigado a colocar assentos no local de serviço para auxiliares administrativos que tenham atribuições de atender ao público.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UNIFORMES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Determina-se o fo</w:t>
                  </w:r>
                  <w:r>
                    <w:rPr>
                      <w:rFonts w:ascii="Arial" w:hAnsi="Arial" w:cs="Arial"/>
                    </w:rPr>
                    <w:t>rnecimento gratuito de uniformes aos trabalhadores, desde que exigido o uso pelo empregador. (PN 115 TST).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INTERVALO/RECREIO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Não serão remunerados ao professor os intervalos para descanso existentes entre aulas do mesmo turn</w:t>
                  </w:r>
                  <w:r>
                    <w:rPr>
                      <w:rFonts w:ascii="Arial" w:hAnsi="Arial" w:cs="Arial"/>
                    </w:rPr>
                    <w:t>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MUDANÇA DE DISCIPLINA E DE GRAU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Não pode o empregador transferir o docente de uma disciplina ou de um grau para </w:t>
                  </w:r>
                  <w:proofErr w:type="gramStart"/>
                  <w:r>
                    <w:rPr>
                      <w:rFonts w:ascii="Arial" w:hAnsi="Arial" w:cs="Arial"/>
                    </w:rPr>
                    <w:t>outra(</w:t>
                  </w:r>
                  <w:proofErr w:type="gramEnd"/>
                  <w:r>
                    <w:rPr>
                      <w:rFonts w:ascii="Arial" w:hAnsi="Arial" w:cs="Arial"/>
                    </w:rPr>
                    <w:t>o),  sem o  consentimento escrito do empregado.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SUPRESSÃO DE DISCIPLINA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Havendo supressão da disciplina no currículo escolar em virtude de alteração de ensino, o docente deverá ser reaproveitado pelo estabelecimento noutra disciplina, se para esta for considerado habilitado, em havendo vagas.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Parágrafo único - O disposto nessa</w:t>
                  </w:r>
                  <w:r>
                    <w:rPr>
                      <w:rFonts w:ascii="Arial" w:hAnsi="Arial" w:cs="Arial"/>
                    </w:rPr>
                    <w:t xml:space="preserve"> cláusula não se aplica às Instituições de Ensino Superior, em que a contratação de docentes obedeça aos critérios de concurso público, provas e títulos.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BANHEIROS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Os estabelecimentos de ensino devem disponibilizar banheiro </w:t>
                  </w:r>
                  <w:r>
                    <w:rPr>
                      <w:rFonts w:ascii="Arial" w:hAnsi="Arial" w:cs="Arial"/>
                    </w:rPr>
                    <w:t>para uso privativo dos professores, bem como para os auxiliares.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DURAÇÃO DA HORA AULA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Duração da hora-aula - Para efeito de remuneração, a d</w:t>
                  </w:r>
                  <w:r>
                    <w:rPr>
                      <w:rFonts w:ascii="Arial" w:hAnsi="Arial" w:cs="Arial"/>
                    </w:rPr>
                    <w:t>uração do trabalho letivo (hora-aula) será de até 60 (sessenta) minutos, na Educação Infantil e parte do Ensino Fundamental (da 1ª à 5ª séries); e de até 50 (</w:t>
                  </w:r>
                  <w:proofErr w:type="spellStart"/>
                  <w:r>
                    <w:rPr>
                      <w:rFonts w:ascii="Arial" w:hAnsi="Arial" w:cs="Arial"/>
                    </w:rPr>
                    <w:t>cinquenta</w:t>
                  </w:r>
                  <w:proofErr w:type="spellEnd"/>
                  <w:r>
                    <w:rPr>
                      <w:rFonts w:ascii="Arial" w:hAnsi="Arial" w:cs="Arial"/>
                    </w:rPr>
                    <w:t>) minutos nas demais séries do Ensino Fundamental (da 6ª à 9ª séries), bem como, no Ensin</w:t>
                  </w:r>
                  <w:r>
                    <w:rPr>
                      <w:rFonts w:ascii="Arial" w:hAnsi="Arial" w:cs="Arial"/>
                    </w:rPr>
                    <w:t>o Médio e Superior. Os demais cursos não contemplados nesta cláusula, como cursos de idiomas, serão regulamentados através de termos aditivos específicos, também elaborados com a participação obrigatória de ambos os sindicatos.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- AULAS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NOTURNAS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Serão consideradas aulas noturnas as ministradas após as 18 horas, sendo que a partir das 22(vinte e duas) horas terão adicional noturno, nos termos do Art. 73 e parágrafos da CLT.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Controle da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PONTO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estabelecimento de ensino deverá manter livro ou controle de ponto, na forma da legislação vigente, devendo nele todos os trabalhadores marcar o horário efetivamente trabalhado.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SEGUNDA - FÉRIAS COLETIVAS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Serão concedidas férias coletivas de trinta dias aos professores a partir de 26 de dezembro de 2015 e a partir de 26 de dezembro de 2016.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1º - Pagamento proporcional às férias - É assegurado ao professor demitido no final</w:t>
                  </w:r>
                  <w:r>
                    <w:rPr>
                      <w:rFonts w:ascii="Arial" w:hAnsi="Arial" w:cs="Arial"/>
                    </w:rPr>
                    <w:t xml:space="preserve"> do ano letivo o pagamento proporcional ao período de férias escolares, sem prejuízo do aviso prévio. (Art. 322, parágrafo 3º, da CLT)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§ 2º – Na hipótese dos cursos novos ou em casos excepcionais que iniciarem suas atividades após o inicio normal do ano </w:t>
                  </w:r>
                  <w:r>
                    <w:rPr>
                      <w:rFonts w:ascii="Arial" w:hAnsi="Arial" w:cs="Arial"/>
                    </w:rPr>
                    <w:t>letivo e que terão de cumprir a carga horária prevista em suas autorizações, as férias serão programadas e concedidas com o prévio entendimento entre as partes, com a participação obrigatória do sindicato profissional (SINTRAE-MS) e patronal (SINEPE-MS).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3° - Condições mais vantajosas na concessão de férias, as partes poderão  ajustar-se, com a participação obrigatória do sindicato profissional (SINTRAE-MS) e patronal (SINEPE-MS). 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não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TERCEIRA - LICENÇA NÃO RE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Ressalvadas as interrupções legais, após 04 (quatro) anos de efetivo exercício de magistério ou de função administrativa no mesmo estabelecimento de ensino, o Professor e o Auxiliar Administrativo, Auxiliar Docente e o Auxiliar de Serviços Gera</w:t>
                  </w:r>
                  <w:r>
                    <w:rPr>
                      <w:rFonts w:ascii="Arial" w:hAnsi="Arial" w:cs="Arial"/>
                    </w:rPr>
                    <w:t xml:space="preserve">is têm direito a uma licença não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remunerada de até </w:t>
                  </w:r>
                  <w:proofErr w:type="gramStart"/>
                  <w:r>
                    <w:rPr>
                      <w:rFonts w:ascii="Arial" w:hAnsi="Arial" w:cs="Arial"/>
                    </w:rPr>
                    <w:t>02 (dois) anos, prorrogável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por mútuo entendimento, por mais 02 (dois) anos, não se computando o seu tempo para qualquer efeito. O professor e o auxiliar não poderão, durante a licença, contratar nova ativ</w:t>
                  </w:r>
                  <w:r>
                    <w:rPr>
                      <w:rFonts w:ascii="Arial" w:hAnsi="Arial" w:cs="Arial"/>
                    </w:rPr>
                    <w:t>idade remunerada a serviço de instituição concorrente.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1º - O trabalhador deverá requerer o benefício, com antecedência mínima de 06 (seis) meses, exceto para tratamento de moléstia grave, em relação à data do início da pretendida licença e o retorno d</w:t>
                  </w:r>
                  <w:r>
                    <w:rPr>
                      <w:rFonts w:ascii="Arial" w:hAnsi="Arial" w:cs="Arial"/>
                    </w:rPr>
                    <w:t>everá coincidir com o início do ano letivo, no mês de fevereiro de cada ano.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2º - A licença que objetivar estudo, aperfeiçoamento pedagógico, especialização, mestrado ou doutorado, o prazo de antecedência será de 30 (trinta) dias da data do início da r</w:t>
                  </w:r>
                  <w:r>
                    <w:rPr>
                      <w:rFonts w:ascii="Arial" w:hAnsi="Arial" w:cs="Arial"/>
                    </w:rPr>
                    <w:t>eferida licença.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3º - A referida licença terá sua devida anotação no livro de registro de empregados, bem assim, nas anotações gerais da Carteira de Trabalho do empregado.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Exames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QUARTA - EXAMES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As instituições de ensino proporcionarão atendimento médico para a realização de exames médicos: </w:t>
                  </w:r>
                  <w:proofErr w:type="spellStart"/>
                  <w:r>
                    <w:rPr>
                      <w:rFonts w:ascii="Arial" w:hAnsi="Arial" w:cs="Arial"/>
                    </w:rPr>
                    <w:t>admissional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exames periódicos e </w:t>
                  </w:r>
                  <w:proofErr w:type="spellStart"/>
                  <w:r>
                    <w:rPr>
                      <w:rFonts w:ascii="Arial" w:hAnsi="Arial" w:cs="Arial"/>
                    </w:rPr>
                    <w:t>demissional</w:t>
                  </w:r>
                  <w:proofErr w:type="spellEnd"/>
                  <w:r>
                    <w:rPr>
                      <w:rFonts w:ascii="Arial" w:hAnsi="Arial" w:cs="Arial"/>
                    </w:rPr>
                    <w:t>, a todos os empregados, na forma da lei, Art. 168, CLT.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ACESSO DO DIRIGENTE SINDICAL NA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Assegura-se o acesso dos dirigentes sindicais às empresas, nos intervalos destinados à alimentação e descanso, </w:t>
                  </w:r>
                  <w:proofErr w:type="gramStart"/>
                  <w:r>
                    <w:rPr>
                      <w:rFonts w:ascii="Arial" w:hAnsi="Arial" w:cs="Arial"/>
                    </w:rPr>
                    <w:t>para desempenho de suas funções,</w:t>
                  </w:r>
                  <w:r>
                    <w:rPr>
                      <w:rFonts w:ascii="Arial" w:hAnsi="Arial" w:cs="Arial"/>
                    </w:rPr>
                    <w:t xml:space="preserve"> vedada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 divulgação de matéria político-partidária ou ofensiva. (PN 91 TST)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TRIGÉSIMA SEXTA - REUNIÕES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Nas reuniões com o sindicato patronal visando </w:t>
                  </w:r>
                  <w:proofErr w:type="gramStart"/>
                  <w:r>
                    <w:rPr>
                      <w:rFonts w:ascii="Arial" w:hAnsi="Arial" w:cs="Arial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celebração de convençã</w:t>
                  </w:r>
                  <w:r>
                    <w:rPr>
                      <w:rFonts w:ascii="Arial" w:hAnsi="Arial" w:cs="Arial"/>
                    </w:rPr>
                    <w:t>o coletiva de trabalho, os membros da diretoria do SINTRAE-MS participantes nas mesmas terão suas faltas abonadas pelo empregador, com comunicação à empresa antecipadamente de no mínimo 24 horas. (PN 83/TST)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Liberação de Empregados para Atividades Sindic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FREQUÊNCIA LIVRE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Assegura-se a </w:t>
                  </w:r>
                  <w:proofErr w:type="spellStart"/>
                  <w:r>
                    <w:rPr>
                      <w:rFonts w:ascii="Arial" w:hAnsi="Arial" w:cs="Arial"/>
                    </w:rPr>
                    <w:t>frequência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livre dos dirigentes sindicais para participarem de </w:t>
                  </w:r>
                  <w:proofErr w:type="spellStart"/>
                  <w:r>
                    <w:rPr>
                      <w:rFonts w:ascii="Arial" w:hAnsi="Arial" w:cs="Arial"/>
                    </w:rPr>
                    <w:t>assembleias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 reuniões sindicais devidamente convocadas e comprovadas, com comunicação antecipada à empresa de 24 horas, no </w:t>
                  </w:r>
                  <w:r>
                    <w:rPr>
                      <w:rFonts w:ascii="Arial" w:hAnsi="Arial" w:cs="Arial"/>
                    </w:rPr>
                    <w:t>mínimo, sem ônus para o empregador.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- CONTRIBUIÇÃO DOS TRABALHADORES AO SINTRAE-MS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Os estabelecimentos de ensino do setor privado, inclusive fundações, abrangidos por este instrumento normativo, obr</w:t>
                  </w:r>
                  <w:r>
                    <w:rPr>
                      <w:rFonts w:ascii="Arial" w:hAnsi="Arial" w:cs="Arial"/>
                    </w:rPr>
                    <w:t xml:space="preserve">igam-se a descontar da remuneração mensal dos trabalhadores, representado pelo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Sintrae-MS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>, e a ele associados, o percentual correspondente a 1,5% (um inteiro e cinco décimos) do total de sua remuneração mensal do trabalhador. O referido desconto foi aprova</w:t>
                  </w:r>
                  <w:r>
                    <w:rPr>
                      <w:rFonts w:ascii="Arial" w:hAnsi="Arial" w:cs="Arial"/>
                    </w:rPr>
                    <w:t xml:space="preserve">do, por deliberação da </w:t>
                  </w:r>
                  <w:proofErr w:type="spellStart"/>
                  <w:r>
                    <w:rPr>
                      <w:rFonts w:ascii="Arial" w:hAnsi="Arial" w:cs="Arial"/>
                    </w:rPr>
                    <w:t>Assembleia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Geral Extraordinária, realizada no dia 31 de janeiro de 2015, na sede da entidade, ainda, nos fundamentos do artigo 8º, inciso IV, da Constituição Federal.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§ 1º - Os valores descontados, nos termos do </w:t>
                  </w:r>
                  <w:r>
                    <w:rPr>
                      <w:rStyle w:val="nfase"/>
                      <w:rFonts w:ascii="Arial" w:hAnsi="Arial" w:cs="Arial"/>
                    </w:rPr>
                    <w:t>caput</w:t>
                  </w:r>
                  <w:r>
                    <w:rPr>
                      <w:rFonts w:ascii="Arial" w:hAnsi="Arial" w:cs="Arial"/>
                    </w:rPr>
                    <w:t xml:space="preserve"> da cláusula, </w:t>
                  </w:r>
                  <w:r>
                    <w:rPr>
                      <w:rFonts w:ascii="Arial" w:hAnsi="Arial" w:cs="Arial"/>
                    </w:rPr>
                    <w:t xml:space="preserve">devem ser obrigatoriamente recolhidos até o décimo dia útil de cada mês, na CONTA CORRENTE operação: </w:t>
                  </w:r>
                  <w:proofErr w:type="gramStart"/>
                  <w:r>
                    <w:rPr>
                      <w:rFonts w:ascii="Arial" w:hAnsi="Arial" w:cs="Arial"/>
                    </w:rPr>
                    <w:t>003 Conta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nº 2206-0, AGÊNCIA 0017, da CAIXA ECONÔMICA FEDERAL, em nome do SINTRAE-MS, através de boleto fornecido pelo sindicato dos trabalhadores às empre</w:t>
                  </w:r>
                  <w:r>
                    <w:rPr>
                      <w:rFonts w:ascii="Arial" w:hAnsi="Arial" w:cs="Arial"/>
                    </w:rPr>
                    <w:t>sas gratuitamente, e a ser recolhido em qualquer agência bancária, até a data do vencimento.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2º - Os empregadores devem remeter ao sindicato dos trabalhadores, até o dia 20 de cada mês a relação nominal dos empregados, constando o referido desconto, so</w:t>
                  </w:r>
                  <w:r>
                    <w:rPr>
                      <w:rFonts w:ascii="Arial" w:hAnsi="Arial" w:cs="Arial"/>
                    </w:rPr>
                    <w:t xml:space="preserve">b pena da multa de 10% sobre o devido, mais atualização monetária e juros de mora 1% </w:t>
                  </w:r>
                  <w:proofErr w:type="spellStart"/>
                  <w:r>
                    <w:rPr>
                      <w:rFonts w:ascii="Arial" w:hAnsi="Arial" w:cs="Arial"/>
                    </w:rPr>
                    <w:t>a.m.</w:t>
                  </w:r>
                  <w:proofErr w:type="spellEnd"/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§ 3º - Serão descontados a este título durante 24 meses de março a fevereiro, na vigência deste instrumento coletivo.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NONA - CONTRIBUIÇÕ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 PATRONAIS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 título de contribuição patronal, as escolas sediadas na base do SINTRAE/MS e do SINEPE/MS pagarão o custeio das negociações em duas parcelas iguais, em 25 de maio e 25 de setembro, nos anos 2015 e 2016, respectivamente, os seguintes valor</w:t>
                  </w:r>
                  <w:r>
                    <w:rPr>
                      <w:rFonts w:ascii="Arial" w:hAnsi="Arial" w:cs="Arial"/>
                    </w:rPr>
                    <w:t>es: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  a) Escolas filiadas o valor correspondente a uma contribuição mensal dos estabelecimentos ao SINEPE/MS;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b) Escolas não filiadas, conforme tabela abaixo: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VALOR DA CONTRIBUIÇÃO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5"/>
                    <w:gridCol w:w="3855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Nº DE ALUNOS (*)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CONTRIBUIÇÃO: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090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 150,00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250,00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350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315,00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500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435,00 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900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650,00 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1400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865,00 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2000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1190,00 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2800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1450,00 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+ 2800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B761A">
                        <w:pPr>
                          <w:pStyle w:val="NormalWeb"/>
                          <w:jc w:val="center"/>
                        </w:pPr>
                        <w:r>
                          <w:t>1620,00</w:t>
                        </w:r>
                      </w:p>
                    </w:tc>
                  </w:tr>
                </w:tbl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c) A base de cálculo da educação </w:t>
                  </w:r>
                  <w:proofErr w:type="spellStart"/>
                  <w:r>
                    <w:rPr>
                      <w:rFonts w:ascii="Arial" w:hAnsi="Arial" w:cs="Arial"/>
                    </w:rPr>
                    <w:t>basica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</w:rPr>
                    <w:t>será feita conforme números de alunos registrados na estatí</w:t>
                  </w:r>
                  <w:r>
                    <w:rPr>
                      <w:rFonts w:ascii="Arial" w:hAnsi="Arial" w:cs="Arial"/>
                    </w:rPr>
                    <w:t xml:space="preserve">stica educacional da Secretaria de Estado de Educação/MS, e a do Ensino Superior conforme dados registrados no </w:t>
                  </w:r>
                  <w:proofErr w:type="spellStart"/>
                  <w:r>
                    <w:rPr>
                      <w:rFonts w:ascii="Arial" w:hAnsi="Arial" w:cs="Arial"/>
                    </w:rPr>
                    <w:t>Ministerio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Educação, tendo como base o  ano anterior ao recolhimento.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Parágrafo único - Os recolhimentos serão feitos mediante Boletos do Ba</w:t>
                  </w:r>
                  <w:r>
                    <w:rPr>
                      <w:rFonts w:ascii="Arial" w:hAnsi="Arial" w:cs="Arial"/>
                    </w:rPr>
                    <w:t xml:space="preserve">nco do Brasil, expedidos pelo SINEPE/MS, conforme critérios aprovados  na </w:t>
                  </w:r>
                  <w:proofErr w:type="spellStart"/>
                  <w:r>
                    <w:rPr>
                      <w:rFonts w:ascii="Arial" w:hAnsi="Arial" w:cs="Arial"/>
                    </w:rPr>
                    <w:t>Assembleia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Geral Extraordinária em 25 de fevereiro de 2015.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Direito de Oposição ao Desconto de 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- DA OPOSIÇÃO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Resguarda-se aos tr</w:t>
                  </w:r>
                  <w:r>
                    <w:rPr>
                      <w:rFonts w:ascii="Arial" w:hAnsi="Arial" w:cs="Arial"/>
                    </w:rPr>
                    <w:t>abalhadores não associados o direito de opor-se às contribuições associativas e ou confederativas em favor do sindicato dos trabalhadores, na conformidade da Súmula 666, do STF e do PN 119, do TST.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PRIMEIRA - CELEBRAÇÃO DE ACORDOS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Todos os acordos que forem celebrados entre estabelecimentos de ensino e seus empregados</w:t>
                  </w:r>
                  <w:proofErr w:type="gramStart"/>
                  <w:r>
                    <w:rPr>
                      <w:rFonts w:ascii="Arial" w:hAnsi="Arial" w:cs="Arial"/>
                    </w:rPr>
                    <w:t>, deverão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ter a participação e anuência obrigató</w:t>
                  </w:r>
                  <w:r>
                    <w:rPr>
                      <w:rFonts w:ascii="Arial" w:hAnsi="Arial" w:cs="Arial"/>
                    </w:rPr>
                    <w:t>ria do SINEPE-MS e do SINTRAE-MS,  sob pena de nulidade do que for avençado, respeitado os incisos V e VI, do  artigo 8º, da Constituição Federal.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SEGUNDA - MULTA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Im</w:t>
                  </w:r>
                  <w:r>
                    <w:rPr>
                      <w:rFonts w:ascii="Arial" w:hAnsi="Arial" w:cs="Arial"/>
                    </w:rPr>
                    <w:t>põe-se multa por descumprimento dos termos constantes deste Instrumento Coletivo de Condições de Trabalho e de Reajustamento Salarial, das obrigações de fazer, no valor equivalente a 10% do salário, em favor do empregado prejudicado.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Renovação/Rescisão 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TERCEIRA - DA RATIFICAÇÃO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Aos termos da Súmula 277, TST, ratificam-se as Condições de Trabalho, para as cláusulas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sociais vigerem, no período de 1º de março de 2015 a 28 de fevereiro de 2017,  com o </w:t>
                  </w:r>
                  <w:proofErr w:type="spellStart"/>
                  <w:r>
                    <w:rPr>
                      <w:rFonts w:ascii="Arial" w:hAnsi="Arial" w:cs="Arial"/>
                    </w:rPr>
                    <w:t>conseq</w:t>
                  </w:r>
                  <w:r>
                    <w:rPr>
                      <w:rFonts w:ascii="Arial" w:hAnsi="Arial" w:cs="Arial"/>
                    </w:rPr>
                    <w:t>uente</w:t>
                  </w:r>
                  <w:proofErr w:type="spellEnd"/>
                  <w:r>
                    <w:rPr>
                      <w:rFonts w:ascii="Arial" w:hAnsi="Arial" w:cs="Arial"/>
                    </w:rPr>
                    <w:t>  arquivo no órgão competente do Ministério do Trabalho.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761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QUARTA - ASSINATURAS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É proibido à direção das escolas colher assinaturas de trabalhadores, em documentos que visem a contrariar esta Convenção, b</w:t>
                  </w:r>
                  <w:r>
                    <w:rPr>
                      <w:rFonts w:ascii="Arial" w:hAnsi="Arial" w:cs="Arial"/>
                    </w:rPr>
                    <w:t>em como a indução de assinaturas, com ameaça de demissão sumária.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QUINTA -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Defere-se a afixação, na empresa, de quadro de avisos do Sindicato, para comunicados de interesse dos empregados, vedados os de conteúdo </w:t>
                  </w:r>
                  <w:r>
                    <w:rPr>
                      <w:rFonts w:ascii="Arial" w:hAnsi="Arial" w:cs="Arial"/>
                    </w:rPr>
                    <w:t>político-partidário ou ofensivo. (PN 104 TST)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SEXTA - GALA E LUTO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Não serão descontados dos Professores, no curso de 09 (nove) dias – Art. 318, § 3º, da CLT, e 05 (cinco) dias dos Auxiliares Administrativos, Auxiliar Docente e do</w:t>
                  </w:r>
                  <w:r>
                    <w:rPr>
                      <w:rFonts w:ascii="Arial" w:hAnsi="Arial" w:cs="Arial"/>
                    </w:rPr>
                    <w:t>s Auxiliares de Serviços Gerais, por motivo de gala (casamento) ou luto, em virtude de falecimento de cônjuge, pai, mãe, filho e/ou dependente legal.</w:t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SÉTIMA - VIGÊNCIA DAS CLÁUSULAS ECONÔMICAS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As partes ajustam que as clá</w:t>
                  </w:r>
                  <w:r>
                    <w:rPr>
                      <w:rFonts w:ascii="Arial" w:hAnsi="Arial" w:cs="Arial"/>
                    </w:rPr>
                    <w:t>usulas econômicas (reajuste salarial) deste termo serão objeto de negociação à data-base de primeiro de março de 2016, para o período revisando de 1º de março de 2015 a 28 de fevereiro de 2016.</w:t>
                  </w:r>
                </w:p>
                <w:p w:rsidR="00000000" w:rsidRDefault="005B761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OITAVA - ESTABILIDADE AS VÉ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SPERAS DA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Garantia de emprego e salário aos professores, auxiliares docentes, auxiliares administrativos e aos auxiliares de serviços gerais  que estejam a </w:t>
                  </w:r>
                  <w:proofErr w:type="gramStart"/>
                  <w:r>
                    <w:rPr>
                      <w:rFonts w:ascii="Arial" w:hAnsi="Arial" w:cs="Arial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(um) ano, imediatamente anterior à complementação do tempo para a aposentadoria.</w:t>
                  </w:r>
                </w:p>
                <w:p w:rsidR="00000000" w:rsidRDefault="005B761A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Parágrafo único - Para obtenção dessa garantia, o trabalhador deverá informar à empresa, por escrito no prazo que antecede </w:t>
                  </w:r>
                  <w:proofErr w:type="gramStart"/>
                  <w:r>
                    <w:rPr>
                      <w:rFonts w:ascii="Arial" w:hAnsi="Arial" w:cs="Arial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ano a complementação do tempo para a aposentadoria.</w:t>
                  </w:r>
                </w:p>
                <w:p w:rsidR="00000000" w:rsidRDefault="005B761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1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761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EDUARDO ASSIS FONSECA BOTELHO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TRABALHADORES </w:t>
                        </w:r>
                        <w:r>
                          <w:rPr>
                            <w:rFonts w:eastAsia="Times New Roman"/>
                          </w:rPr>
                          <w:t xml:space="preserve">EM ESTAB DE ENSINO DE 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MARIA DA GLORIA PAIM BARCELLOS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 DE ENSINO DO EST MATO GROSSO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5B761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5B761A">
            <w:pPr>
              <w:rPr>
                <w:rFonts w:eastAsia="Times New Roman"/>
              </w:rPr>
            </w:pPr>
          </w:p>
        </w:tc>
      </w:tr>
    </w:tbl>
    <w:p w:rsidR="005B761A" w:rsidRDefault="005B761A">
      <w:pPr>
        <w:rPr>
          <w:rFonts w:eastAsia="Times New Roman"/>
        </w:rPr>
      </w:pPr>
    </w:p>
    <w:sectPr w:rsidR="005B761A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E8C"/>
    <w:multiLevelType w:val="multilevel"/>
    <w:tmpl w:val="3018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71A53"/>
    <w:multiLevelType w:val="multilevel"/>
    <w:tmpl w:val="AA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0704A"/>
    <w:rsid w:val="005B761A"/>
    <w:rsid w:val="0060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4036</Words>
  <Characters>21797</Characters>
  <Application>Microsoft Office Word</Application>
  <DocSecurity>0</DocSecurity>
  <Lines>181</Lines>
  <Paragraphs>51</Paragraphs>
  <ScaleCrop>false</ScaleCrop>
  <Company/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Eduardo</dc:creator>
  <cp:lastModifiedBy>Eduardo</cp:lastModifiedBy>
  <cp:revision>2</cp:revision>
  <dcterms:created xsi:type="dcterms:W3CDTF">2015-04-08T13:17:00Z</dcterms:created>
  <dcterms:modified xsi:type="dcterms:W3CDTF">2015-04-08T13:17:00Z</dcterms:modified>
</cp:coreProperties>
</file>